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1B29D">
      <w:pPr>
        <w:pStyle w:val="2"/>
        <w:numPr>
          <w:ilvl w:val="0"/>
          <w:numId w:val="0"/>
        </w:numPr>
        <w:jc w:val="center"/>
        <w:rPr>
          <w:rFonts w:hint="eastAsia" w:ascii="仿宋_GB2312" w:hAnsi="仿宋_GB2312" w:eastAsia="仿宋_GB2312" w:cs="仿宋_GB2312"/>
          <w:b/>
          <w:bCs/>
          <w:sz w:val="36"/>
          <w:szCs w:val="36"/>
          <w:lang w:val="en-US" w:eastAsia="zh-CN"/>
        </w:rPr>
      </w:pPr>
      <w:bookmarkStart w:id="0" w:name="_GoBack"/>
      <w:r>
        <w:rPr>
          <w:rFonts w:hint="eastAsia" w:ascii="仿宋_GB2312" w:hAnsi="仿宋_GB2312" w:eastAsia="仿宋_GB2312" w:cs="仿宋_GB2312"/>
          <w:b/>
          <w:bCs/>
          <w:sz w:val="36"/>
          <w:szCs w:val="36"/>
          <w:lang w:val="en-US" w:eastAsia="zh-CN"/>
        </w:rPr>
        <w:t>需求情况表</w:t>
      </w:r>
    </w:p>
    <w:p w14:paraId="5DCA19BB">
      <w:pPr>
        <w:pStyle w:val="2"/>
        <w:keepNext w:val="0"/>
        <w:keepLines w:val="0"/>
        <w:pageBreakBefore w:val="0"/>
        <w:widowControl w:val="0"/>
        <w:numPr>
          <w:ilvl w:val="0"/>
          <w:numId w:val="0"/>
        </w:numPr>
        <w:kinsoku/>
        <w:wordWrap/>
        <w:overflowPunct/>
        <w:topLinePunct w:val="0"/>
        <w:autoSpaceDN/>
        <w:bidi w:val="0"/>
        <w:adjustRightInd/>
        <w:snapToGrid/>
        <w:spacing w:after="0" w:afterLines="0"/>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kern w:val="2"/>
          <w:sz w:val="28"/>
          <w:szCs w:val="28"/>
          <w:lang w:val="en-US" w:eastAsia="zh-CN" w:bidi="ar-SA"/>
        </w:rPr>
        <w:t>一、</w:t>
      </w:r>
      <w:r>
        <w:rPr>
          <w:rFonts w:hint="eastAsia" w:ascii="仿宋_GB2312" w:hAnsi="仿宋_GB2312" w:eastAsia="仿宋_GB2312" w:cs="仿宋_GB2312"/>
          <w:b/>
          <w:sz w:val="28"/>
          <w:szCs w:val="28"/>
        </w:rPr>
        <w:t>项目概况</w:t>
      </w:r>
    </w:p>
    <w:p w14:paraId="4CEB8C32">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1.</w:t>
      </w:r>
      <w:r>
        <w:rPr>
          <w:rFonts w:hint="eastAsia" w:ascii="仿宋_GB2312" w:hAnsi="仿宋_GB2312" w:eastAsia="仿宋_GB2312" w:cs="仿宋_GB2312"/>
          <w:sz w:val="28"/>
          <w:szCs w:val="28"/>
          <w:lang w:val="en-US" w:eastAsia="zh-CN"/>
        </w:rPr>
        <w:t>项目名称：</w:t>
      </w:r>
      <w:r>
        <w:rPr>
          <w:rFonts w:hint="eastAsia" w:ascii="仿宋_GB2312" w:hAnsi="仿宋_GB2312" w:cs="仿宋_GB2312"/>
          <w:sz w:val="28"/>
          <w:szCs w:val="28"/>
          <w:lang w:val="en-US" w:eastAsia="zh-CN"/>
        </w:rPr>
        <w:t>中山市口腔医院2027年零星工程服务项目</w:t>
      </w:r>
    </w:p>
    <w:p w14:paraId="04C00158">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default" w:ascii="仿宋_GB2312" w:hAnsi="仿宋_GB2312" w:eastAsia="仿宋_GB2312" w:cs="仿宋_GB2312"/>
          <w:kern w:val="2"/>
          <w:sz w:val="28"/>
          <w:szCs w:val="28"/>
          <w:lang w:val="en-US" w:eastAsia="zh-CN" w:bidi="ar-SA"/>
        </w:rPr>
        <w:t>2.</w:t>
      </w:r>
      <w:r>
        <w:rPr>
          <w:rFonts w:hint="eastAsia" w:ascii="仿宋_GB2312" w:hAnsi="仿宋_GB2312" w:cs="仿宋_GB2312"/>
          <w:sz w:val="28"/>
          <w:szCs w:val="28"/>
          <w:lang w:val="en-US" w:eastAsia="zh-CN"/>
        </w:rPr>
        <w:t>采购</w:t>
      </w:r>
      <w:r>
        <w:rPr>
          <w:rFonts w:hint="eastAsia" w:ascii="仿宋_GB2312" w:hAnsi="仿宋_GB2312" w:eastAsia="仿宋_GB2312" w:cs="仿宋_GB2312"/>
          <w:sz w:val="28"/>
          <w:szCs w:val="28"/>
          <w:lang w:val="en-US" w:eastAsia="zh-CN"/>
        </w:rPr>
        <w:t>预算</w:t>
      </w:r>
      <w:r>
        <w:rPr>
          <w:rFonts w:hint="eastAsia" w:ascii="仿宋_GB2312" w:hAnsi="仿宋_GB2312" w:cs="仿宋_GB2312"/>
          <w:sz w:val="28"/>
          <w:szCs w:val="28"/>
          <w:lang w:val="en-US" w:eastAsia="zh-CN"/>
        </w:rPr>
        <w:t>总</w:t>
      </w:r>
      <w:r>
        <w:rPr>
          <w:rFonts w:hint="eastAsia" w:ascii="仿宋_GB2312" w:hAnsi="仿宋_GB2312" w:eastAsia="仿宋_GB2312" w:cs="仿宋_GB2312"/>
          <w:sz w:val="28"/>
          <w:szCs w:val="28"/>
          <w:lang w:val="en-US" w:eastAsia="zh-CN"/>
        </w:rPr>
        <w:t>金额：</w:t>
      </w:r>
      <w:r>
        <w:rPr>
          <w:rFonts w:hint="eastAsia" w:ascii="仿宋_GB2312" w:hAnsi="仿宋_GB2312" w:cs="仿宋_GB2312"/>
          <w:sz w:val="28"/>
          <w:szCs w:val="28"/>
          <w:lang w:val="en-US" w:eastAsia="zh-CN"/>
        </w:rPr>
        <w:t>60万元</w:t>
      </w:r>
    </w:p>
    <w:p w14:paraId="1E7AA161">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3.采购内容：自项目合同生效之日起至2027年12月31日中山市口腔医院范围内10万元以下零星工程（装修或修缮类）的施工。</w:t>
      </w:r>
    </w:p>
    <w:p w14:paraId="2B86C668">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4.最高限价：本项目采用折扣率方式报价，供应商的报价最高折扣率为100%。</w:t>
      </w:r>
    </w:p>
    <w:p w14:paraId="5A2F891D">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5.服务期限：自项目合同生效之日起至2027年12月31日，自项目合同生效之日起至达到下列条件之一时结束，采购人不再继续委托成交供应商提供服务：（1）本项目预算经费用毕；（2）达到本项目服务期限；（3）剩余金额不足开展或采购任何一项工程时。</w:t>
      </w:r>
    </w:p>
    <w:p w14:paraId="448FE351">
      <w:pPr>
        <w:keepNext w:val="0"/>
        <w:keepLines w:val="0"/>
        <w:pageBreakBefore w:val="0"/>
        <w:widowControl w:val="0"/>
        <w:kinsoku/>
        <w:wordWrap/>
        <w:overflowPunct/>
        <w:topLinePunct w:val="0"/>
        <w:autoSpaceDN/>
        <w:bidi w:val="0"/>
        <w:adjustRightInd/>
        <w:snapToGrid/>
        <w:spacing w:line="360" w:lineRule="auto"/>
        <w:textAlignment w:val="auto"/>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二、项目总体要求</w:t>
      </w:r>
    </w:p>
    <w:p w14:paraId="0AA3C47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1.供应商资格要求：</w:t>
      </w:r>
    </w:p>
    <w:p w14:paraId="54E7387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1.1供应商应具备《中华人民共和国政府采购法》第二十二条规定的条件（按公告附件格式提供资格声明函）</w:t>
      </w:r>
    </w:p>
    <w:p w14:paraId="4CC45FF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2.1供应商具有独立承担民事责任的能力（提供在中华人民共和国境内注册的法人或其他组织的营业执照，提供上述材料的复印件并加盖公章）</w:t>
      </w:r>
    </w:p>
    <w:p w14:paraId="22F1A9F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3.1特定资格要求：必须在广东政府采购智慧云平台的电子卖场定点供应商库内。</w:t>
      </w:r>
    </w:p>
    <w:p w14:paraId="2618ED4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 w:val="0"/>
          <w:bCs/>
          <w:color w:val="auto"/>
          <w:kern w:val="2"/>
          <w:sz w:val="28"/>
          <w:szCs w:val="28"/>
          <w:highlight w:val="none"/>
          <w:lang w:val="en-US" w:eastAsia="zh-CN" w:bidi="ar"/>
        </w:rPr>
      </w:pPr>
      <w:r>
        <w:rPr>
          <w:rFonts w:hint="eastAsia" w:ascii="仿宋_GB2312" w:hAnsi="仿宋_GB2312" w:eastAsia="仿宋_GB2312" w:cs="仿宋_GB2312"/>
          <w:b w:val="0"/>
          <w:bCs/>
          <w:color w:val="auto"/>
          <w:kern w:val="2"/>
          <w:sz w:val="28"/>
          <w:szCs w:val="28"/>
          <w:highlight w:val="none"/>
          <w:lang w:val="en-US" w:eastAsia="zh-CN" w:bidi="ar"/>
        </w:rPr>
        <w:t>2.人员要求</w:t>
      </w:r>
    </w:p>
    <w:p w14:paraId="39553B8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2.1成交供应商须委派1名项目负责人，持有有效的二级或以上建造师注册证书（建筑工程）及安全生产考核合格证书（B证）。负责在本项目服务期内工程现场组织、指挥、管理、协调等工作，确保工程在限期内完成。项目完成后规定的保修期内，根据项目实际保修工作需随时到场负责指挥，安排应做的保修工作。具体零星工程施工期间应确保项目负责人不缺位，如出现因项目负责人缺位而严重影响本工程的情况，采购人有权提出更换项目负责人，同时由此造成的损失由成交供应商承担。</w:t>
      </w:r>
    </w:p>
    <w:p w14:paraId="7BEB0EB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2.2成交供应商需委派1名技术负责人，持有建筑工程相关工程师（中级）或以上职称。负责项目技术的管理、沟通、协调等工作。</w:t>
      </w:r>
    </w:p>
    <w:p w14:paraId="0F60326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2.3成交供应商需委派1名质量负责人，持有建筑工程相关助理工程师（初级）或以上职称。负责项目质量的管理、沟通、协调等工作。</w:t>
      </w:r>
    </w:p>
    <w:p w14:paraId="581B302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2.4成交供应商需委派1名专职安全员，持有安全生产考核合格证书（C证）。负责项目的安全管理、检查、监督工作。</w:t>
      </w:r>
    </w:p>
    <w:p w14:paraId="66381D0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2.5对于须持证上岗的维修项目，如高空作业、电工、焊工等，维修人员须具备相应的有效证件，并在进场前向采购人报备。</w:t>
      </w:r>
    </w:p>
    <w:p w14:paraId="7BC34DF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 w:val="0"/>
          <w:bCs/>
          <w:color w:val="auto"/>
          <w:kern w:val="2"/>
          <w:sz w:val="28"/>
          <w:szCs w:val="28"/>
          <w:highlight w:val="none"/>
          <w:lang w:val="en-US" w:eastAsia="zh-CN" w:bidi="ar"/>
        </w:rPr>
        <w:t>2.6</w:t>
      </w:r>
      <w:r>
        <w:rPr>
          <w:rFonts w:hint="eastAsia" w:ascii="仿宋_GB2312" w:hAnsi="仿宋_GB2312" w:eastAsia="仿宋_GB2312" w:cs="仿宋_GB2312"/>
          <w:bCs/>
          <w:color w:val="auto"/>
          <w:kern w:val="2"/>
          <w:sz w:val="28"/>
          <w:szCs w:val="28"/>
          <w:highlight w:val="none"/>
          <w:lang w:val="en-US" w:eastAsia="zh-CN" w:bidi="ar"/>
        </w:rPr>
        <w:t>成交供应商须在成交通知书发出后</w:t>
      </w:r>
      <w:r>
        <w:rPr>
          <w:rFonts w:hint="eastAsia" w:ascii="仿宋_GB2312" w:hAnsi="仿宋_GB2312" w:eastAsia="仿宋_GB2312" w:cs="仿宋_GB2312"/>
          <w:color w:val="auto"/>
          <w:spacing w:val="7"/>
          <w:sz w:val="28"/>
          <w:szCs w:val="28"/>
          <w:highlight w:val="none"/>
        </w:rPr>
        <w:t>30天内</w:t>
      </w:r>
      <w:r>
        <w:rPr>
          <w:rFonts w:hint="eastAsia" w:ascii="仿宋_GB2312" w:hAnsi="仿宋_GB2312" w:eastAsia="仿宋_GB2312" w:cs="仿宋_GB2312"/>
          <w:bCs/>
          <w:color w:val="auto"/>
          <w:kern w:val="0"/>
          <w:sz w:val="28"/>
          <w:szCs w:val="28"/>
          <w:highlight w:val="none"/>
          <w:lang w:val="en-US" w:eastAsia="zh-CN" w:bidi="ar-SA"/>
        </w:rPr>
        <w:t>签订合同，在</w:t>
      </w:r>
      <w:r>
        <w:rPr>
          <w:rFonts w:hint="eastAsia" w:ascii="仿宋_GB2312" w:hAnsi="仿宋_GB2312" w:eastAsia="仿宋_GB2312" w:cs="仿宋_GB2312"/>
          <w:bCs/>
          <w:color w:val="auto"/>
          <w:kern w:val="2"/>
          <w:sz w:val="28"/>
          <w:szCs w:val="28"/>
          <w:highlight w:val="none"/>
          <w:lang w:val="en-US" w:eastAsia="zh-CN" w:bidi="ar"/>
        </w:rPr>
        <w:t>成交通知书</w:t>
      </w:r>
      <w:r>
        <w:rPr>
          <w:rFonts w:hint="eastAsia" w:ascii="仿宋_GB2312" w:hAnsi="仿宋_GB2312" w:eastAsia="仿宋_GB2312" w:cs="仿宋_GB2312"/>
          <w:bCs/>
          <w:color w:val="auto"/>
          <w:kern w:val="0"/>
          <w:sz w:val="28"/>
          <w:szCs w:val="28"/>
          <w:highlight w:val="none"/>
          <w:lang w:val="en-US" w:eastAsia="zh-CN" w:bidi="ar-SA"/>
        </w:rPr>
        <w:t>发出后合同签订前</w:t>
      </w:r>
      <w:r>
        <w:rPr>
          <w:rFonts w:hint="eastAsia" w:ascii="仿宋_GB2312" w:hAnsi="仿宋_GB2312" w:eastAsia="仿宋_GB2312" w:cs="仿宋_GB2312"/>
          <w:color w:val="auto"/>
          <w:spacing w:val="7"/>
          <w:sz w:val="28"/>
          <w:szCs w:val="28"/>
          <w:highlight w:val="none"/>
        </w:rPr>
        <w:t>按</w:t>
      </w:r>
      <w:r>
        <w:rPr>
          <w:rFonts w:hint="eastAsia" w:ascii="仿宋_GB2312" w:hAnsi="仿宋_GB2312" w:eastAsia="仿宋_GB2312" w:cs="仿宋_GB2312"/>
          <w:color w:val="auto"/>
          <w:spacing w:val="7"/>
          <w:sz w:val="28"/>
          <w:szCs w:val="28"/>
          <w:highlight w:val="none"/>
          <w:lang w:eastAsia="zh-CN"/>
        </w:rPr>
        <w:t>要求</w:t>
      </w:r>
      <w:r>
        <w:rPr>
          <w:rFonts w:hint="eastAsia" w:ascii="仿宋_GB2312" w:hAnsi="仿宋_GB2312" w:eastAsia="仿宋_GB2312" w:cs="仿宋_GB2312"/>
          <w:color w:val="auto"/>
          <w:spacing w:val="7"/>
          <w:sz w:val="28"/>
          <w:szCs w:val="28"/>
          <w:highlight w:val="none"/>
        </w:rPr>
        <w:t>配备人员服务本项目，并</w:t>
      </w:r>
      <w:r>
        <w:rPr>
          <w:rFonts w:hint="eastAsia" w:ascii="仿宋_GB2312" w:hAnsi="仿宋_GB2312" w:eastAsia="仿宋_GB2312" w:cs="仿宋_GB2312"/>
          <w:bCs/>
          <w:color w:val="auto"/>
          <w:kern w:val="2"/>
          <w:sz w:val="28"/>
          <w:szCs w:val="28"/>
          <w:highlight w:val="none"/>
          <w:lang w:val="en-US" w:eastAsia="zh-CN" w:bidi="ar"/>
        </w:rPr>
        <w:t>向采购人提供人员</w:t>
      </w:r>
      <w:r>
        <w:rPr>
          <w:rFonts w:hint="eastAsia" w:ascii="仿宋_GB2312" w:hAnsi="仿宋_GB2312" w:eastAsia="仿宋_GB2312" w:cs="仿宋_GB2312"/>
          <w:color w:val="auto"/>
          <w:spacing w:val="7"/>
          <w:sz w:val="28"/>
          <w:szCs w:val="28"/>
          <w:highlight w:val="none"/>
        </w:rPr>
        <w:t>相关资料，包括人员名单、</w:t>
      </w:r>
      <w:r>
        <w:rPr>
          <w:rFonts w:hint="eastAsia" w:ascii="仿宋_GB2312" w:hAnsi="仿宋_GB2312" w:eastAsia="仿宋_GB2312" w:cs="仿宋_GB2312"/>
          <w:color w:val="auto"/>
          <w:spacing w:val="7"/>
          <w:sz w:val="28"/>
          <w:szCs w:val="28"/>
          <w:highlight w:val="none"/>
          <w:lang w:eastAsia="zh-CN"/>
        </w:rPr>
        <w:t>人员</w:t>
      </w:r>
      <w:r>
        <w:rPr>
          <w:rFonts w:hint="eastAsia" w:ascii="仿宋_GB2312" w:hAnsi="仿宋_GB2312" w:eastAsia="仿宋_GB2312" w:cs="仿宋_GB2312"/>
          <w:bCs/>
          <w:color w:val="auto"/>
          <w:kern w:val="2"/>
          <w:sz w:val="28"/>
          <w:szCs w:val="28"/>
          <w:highlight w:val="none"/>
          <w:lang w:val="en-US" w:eastAsia="zh-CN" w:bidi="ar"/>
        </w:rPr>
        <w:t>相关证书</w:t>
      </w:r>
      <w:r>
        <w:rPr>
          <w:rFonts w:hint="eastAsia" w:ascii="仿宋_GB2312" w:hAnsi="仿宋_GB2312" w:eastAsia="仿宋_GB2312" w:cs="仿宋_GB2312"/>
          <w:color w:val="auto"/>
          <w:spacing w:val="7"/>
          <w:sz w:val="28"/>
          <w:szCs w:val="28"/>
          <w:highlight w:val="none"/>
        </w:rPr>
        <w:t>等复印件</w:t>
      </w:r>
      <w:r>
        <w:rPr>
          <w:rFonts w:hint="eastAsia" w:ascii="仿宋_GB2312" w:hAnsi="仿宋_GB2312" w:eastAsia="仿宋_GB2312" w:cs="仿宋_GB2312"/>
          <w:color w:val="auto"/>
          <w:spacing w:val="7"/>
          <w:sz w:val="28"/>
          <w:szCs w:val="28"/>
          <w:highlight w:val="none"/>
          <w:lang w:eastAsia="zh-CN"/>
        </w:rPr>
        <w:t>留存</w:t>
      </w:r>
      <w:r>
        <w:rPr>
          <w:rFonts w:hint="eastAsia" w:ascii="仿宋_GB2312" w:hAnsi="仿宋_GB2312" w:eastAsia="仿宋_GB2312" w:cs="仿宋_GB2312"/>
          <w:color w:val="auto"/>
          <w:spacing w:val="7"/>
          <w:sz w:val="28"/>
          <w:szCs w:val="28"/>
          <w:highlight w:val="none"/>
        </w:rPr>
        <w:t>（</w:t>
      </w:r>
      <w:r>
        <w:rPr>
          <w:rFonts w:hint="eastAsia" w:ascii="仿宋_GB2312" w:hAnsi="仿宋_GB2312" w:eastAsia="仿宋_GB2312" w:cs="仿宋_GB2312"/>
          <w:color w:val="auto"/>
          <w:spacing w:val="7"/>
          <w:sz w:val="28"/>
          <w:szCs w:val="28"/>
          <w:highlight w:val="none"/>
          <w:lang w:eastAsia="zh-CN"/>
        </w:rPr>
        <w:t>原件</w:t>
      </w:r>
      <w:r>
        <w:rPr>
          <w:rFonts w:hint="eastAsia" w:ascii="仿宋_GB2312" w:hAnsi="仿宋_GB2312" w:eastAsia="仿宋_GB2312" w:cs="仿宋_GB2312"/>
          <w:color w:val="auto"/>
          <w:spacing w:val="7"/>
          <w:sz w:val="28"/>
          <w:szCs w:val="28"/>
          <w:highlight w:val="none"/>
        </w:rPr>
        <w:t>备</w:t>
      </w:r>
      <w:r>
        <w:rPr>
          <w:rFonts w:hint="eastAsia" w:ascii="仿宋_GB2312" w:hAnsi="仿宋_GB2312" w:eastAsia="仿宋_GB2312" w:cs="仿宋_GB2312"/>
          <w:color w:val="auto"/>
          <w:spacing w:val="7"/>
          <w:sz w:val="28"/>
          <w:szCs w:val="28"/>
          <w:highlight w:val="none"/>
          <w:lang w:eastAsia="zh-CN"/>
        </w:rPr>
        <w:t>查</w:t>
      </w:r>
      <w:r>
        <w:rPr>
          <w:rFonts w:hint="eastAsia" w:ascii="仿宋_GB2312" w:hAnsi="仿宋_GB2312" w:eastAsia="仿宋_GB2312" w:cs="仿宋_GB2312"/>
          <w:color w:val="auto"/>
          <w:spacing w:val="7"/>
          <w:sz w:val="28"/>
          <w:szCs w:val="28"/>
          <w:highlight w:val="none"/>
        </w:rPr>
        <w:t>）</w:t>
      </w:r>
      <w:r>
        <w:rPr>
          <w:rFonts w:hint="eastAsia" w:ascii="仿宋_GB2312" w:hAnsi="仿宋_GB2312" w:eastAsia="仿宋_GB2312" w:cs="仿宋_GB2312"/>
          <w:bCs/>
          <w:color w:val="auto"/>
          <w:kern w:val="2"/>
          <w:sz w:val="28"/>
          <w:szCs w:val="28"/>
          <w:highlight w:val="none"/>
          <w:lang w:val="en-US" w:eastAsia="zh-CN" w:bidi="ar"/>
        </w:rPr>
        <w:t>，</w:t>
      </w:r>
      <w:r>
        <w:rPr>
          <w:rFonts w:hint="eastAsia" w:ascii="仿宋_GB2312" w:hAnsi="仿宋_GB2312" w:eastAsia="仿宋_GB2312" w:cs="仿宋_GB2312"/>
          <w:color w:val="auto"/>
          <w:sz w:val="28"/>
          <w:szCs w:val="28"/>
          <w:highlight w:val="none"/>
          <w:lang w:val="en-US" w:eastAsia="zh-CN"/>
        </w:rPr>
        <w:t>项目负责人发生变动的应及时更新备案资料和移交更新的备案资料给采购人</w:t>
      </w:r>
      <w:r>
        <w:rPr>
          <w:rFonts w:hint="eastAsia" w:ascii="仿宋_GB2312" w:hAnsi="仿宋_GB2312" w:eastAsia="仿宋_GB2312" w:cs="仿宋_GB2312"/>
          <w:bCs/>
          <w:color w:val="auto"/>
          <w:kern w:val="2"/>
          <w:sz w:val="28"/>
          <w:szCs w:val="28"/>
          <w:highlight w:val="none"/>
          <w:lang w:val="en-US" w:eastAsia="zh-CN" w:bidi="ar"/>
        </w:rPr>
        <w:t>。若逾期未按要求配齐人员服务本项目，将视为成交供应商拒签合同，成交供应商须赔偿由此给采购人造成的损失。同时采购人可以依据《中华人民共和国政府采购法实施条例》第四十九条的规定，按照评标报告推荐的成交候选人名单排序，确定下一候选人为成交供应商，也可以重新开展政府采购活动。</w:t>
      </w:r>
    </w:p>
    <w:p w14:paraId="2D1CABB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 w:val="0"/>
          <w:bCs/>
          <w:color w:val="auto"/>
          <w:kern w:val="2"/>
          <w:sz w:val="28"/>
          <w:szCs w:val="28"/>
          <w:highlight w:val="none"/>
          <w:lang w:val="en-US" w:eastAsia="zh-CN" w:bidi="ar"/>
        </w:rPr>
      </w:pPr>
      <w:r>
        <w:rPr>
          <w:rFonts w:hint="eastAsia" w:ascii="仿宋_GB2312" w:hAnsi="仿宋_GB2312" w:eastAsia="仿宋_GB2312" w:cs="仿宋_GB2312"/>
          <w:b w:val="0"/>
          <w:bCs/>
          <w:color w:val="auto"/>
          <w:kern w:val="2"/>
          <w:sz w:val="28"/>
          <w:szCs w:val="28"/>
          <w:highlight w:val="none"/>
          <w:lang w:val="en-US" w:eastAsia="zh-CN" w:bidi="ar"/>
        </w:rPr>
        <w:t>3.其他要求</w:t>
      </w:r>
    </w:p>
    <w:p w14:paraId="38EF962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3.1成交供应商的工程档案资料符合国家有关档案管理规定的要求，在工程施工过程应及时做好收集、汇总和整理工作。</w:t>
      </w:r>
    </w:p>
    <w:p w14:paraId="1DF0893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3.2本项目严禁恶意响应，对远低于市场价响应，成交后以各种理由为借口，不能按要求完成工程的成交供应商，采购人将采取法律诉讼。</w:t>
      </w:r>
    </w:p>
    <w:p w14:paraId="3CFB5AD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3.3</w:t>
      </w:r>
      <w:r>
        <w:rPr>
          <w:rFonts w:hint="eastAsia" w:ascii="仿宋_GB2312" w:hAnsi="仿宋_GB2312" w:eastAsia="仿宋_GB2312" w:cs="仿宋_GB2312"/>
          <w:color w:val="auto"/>
          <w:sz w:val="28"/>
          <w:szCs w:val="28"/>
          <w:highlight w:val="none"/>
        </w:rPr>
        <w:t>成交供应商在购买相关材料前，需列明采购清单及品牌（相关品牌需符合国家相关标准的要求）经采购人审批同意后方可按照要求采购、配送并投入施工。</w:t>
      </w:r>
    </w:p>
    <w:p w14:paraId="7714ED0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3.4施工开工期间，如有现场管理不当（清洁、物品保护、施工文明等），则该项工程的工程结算费用扣减5%。</w:t>
      </w:r>
    </w:p>
    <w:p w14:paraId="6D29F2C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3.5“应急”要求：供应商按照本项目的具体情况制定应急预案，管控风险切实履行好职责，保障施工安全、消防安全等，有效应对各类事故发生后的处理。</w:t>
      </w:r>
    </w:p>
    <w:p w14:paraId="3D7CB42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3.6对于本项目按照相关法律法规规定需要相关资质完成的工作内容（例如消防安装工程等），成交供应商具有相关资质的由成交供应商负责完成相关工作内容，若成交供应商本身不具备相关资质，则分包给具有相关资质的公司（该公司须为中小企业）完成相关的工作内容。上述工作内容相关费用均由成交供应商负责，采购人不另行支付费用。</w:t>
      </w:r>
    </w:p>
    <w:p w14:paraId="009943D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3.7施工人员工资和保险保障：成交供应商负责发放其所派现场施工人员的工资，并负责为施工人员购买意外保险和第三者责任险，为在施工过程产生的意外提供一定的金钱保障。以上相关费用均由成交供应商负责，采购人不另行支付费用。</w:t>
      </w:r>
    </w:p>
    <w:p w14:paraId="3DA9551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3.8施工人员在接到采购人维修通知后30分钟内到达现场，排查问题，对于存在安全隐患的问题，包括且不限于瓷砖脱落、天花板松脱、渗漏、洗手盆脱落、玻璃破裂等，须立即采取临时应急措施，解除安全隐患，同步制定维修方案，报采购人同意后在限期内完成，如因客观原因造成无法按期完成，应及时书面提出，经采购人同意后调整维修方案及工期。</w:t>
      </w:r>
    </w:p>
    <w:p w14:paraId="33CC257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3.9施工人员在施工前后应做好相关资料的收集，包括相片、视频等，作为项目结算依据。</w:t>
      </w:r>
    </w:p>
    <w:p w14:paraId="77ED25B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3.10第三方</w:t>
      </w:r>
      <w:r>
        <w:rPr>
          <w:rFonts w:hint="eastAsia" w:ascii="仿宋_GB2312" w:hAnsi="仿宋_GB2312" w:eastAsia="仿宋_GB2312" w:cs="仿宋_GB2312"/>
          <w:b w:val="0"/>
          <w:bCs/>
          <w:color w:val="auto"/>
          <w:sz w:val="28"/>
          <w:szCs w:val="28"/>
          <w:highlight w:val="none"/>
          <w:lang w:val="en-US" w:eastAsia="zh-CN"/>
        </w:rPr>
        <w:t>结算审核</w:t>
      </w:r>
      <w:r>
        <w:rPr>
          <w:rFonts w:hint="eastAsia" w:ascii="仿宋_GB2312" w:hAnsi="仿宋_GB2312" w:eastAsia="仿宋_GB2312" w:cs="仿宋_GB2312"/>
          <w:bCs/>
          <w:color w:val="auto"/>
          <w:kern w:val="2"/>
          <w:sz w:val="28"/>
          <w:szCs w:val="28"/>
          <w:highlight w:val="none"/>
          <w:lang w:val="en-US" w:eastAsia="zh-CN" w:bidi="ar"/>
        </w:rPr>
        <w:t>公司根据成交供应商提供的结算资料，结合现场实际施工情况进行结算审核，若因成交供应商提交的结算资料不完善所造成的结算后果，均由成交供应商承担。</w:t>
      </w:r>
    </w:p>
    <w:p w14:paraId="142DCA4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3.11成交供应商派驻到本项目的维修人员须遵守采购人的管理制度，若出现违规行为，一切后果由成交供应商负责。</w:t>
      </w:r>
    </w:p>
    <w:p w14:paraId="1C0FBE8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3.12成交供应商施工过程应该符合以下要求：</w:t>
      </w:r>
    </w:p>
    <w:p w14:paraId="166BB7F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（1）完成相关许可手续：施工前，应确保具体工程项目已取得施工许可或已具备施工条件，符合要求方可施工。</w:t>
      </w:r>
    </w:p>
    <w:p w14:paraId="68BCA41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（2）安全交底：施工前对施工人员进行安全教育和培训，明确岗位职责和安全操作规程。</w:t>
      </w:r>
    </w:p>
    <w:p w14:paraId="259142F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（3）安全防护：施工期间应设立警示标志，设置安全围栏隔挡，确保施工现场的封闭管理和安全通道畅通无阻。</w:t>
      </w:r>
    </w:p>
    <w:p w14:paraId="337C7D5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（4）材料堆放：建筑材料应分类存放，且远离火源，不得占用消防通道。</w:t>
      </w:r>
    </w:p>
    <w:p w14:paraId="710F4F5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（5）机械设备管理：施工机械和工具使用前需检查其性能和安全性，并由专人负责操作和维护。</w:t>
      </w:r>
    </w:p>
    <w:p w14:paraId="2373AC6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（6）消防安全：施工区域划分明确，严禁在易燃易爆物附近吸烟或明火作业。</w:t>
      </w:r>
    </w:p>
    <w:p w14:paraId="6514E07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（7）电气安全：各类电气、电动工具使用前进行漏电检测，线路铺设规范，绝缘良好，接头不裸露。</w:t>
      </w:r>
    </w:p>
    <w:p w14:paraId="3F1E1AE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（8）高处作业安全：从事高处作业人员需通过体检合格，患有高血压、心脏病、恐高症等疾病人员禁止参与高处作业。作业人员应该做好安全防护，佩戴好安全带，做好坠落保护。</w:t>
      </w:r>
    </w:p>
    <w:p w14:paraId="1C50D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（9）个人防护：施工人员进入工地必须佩戴安全帽、防护鞋以及必要的防护用品。</w:t>
      </w:r>
    </w:p>
    <w:p w14:paraId="4C1F302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（10）环境保护：遵守噪音排放限制规定，采取降噪措施减少对周边环境的影响。有毒建筑废物应该及时清理。液状材料在不使用时应该做好封存保存，避免渗漏挥发气体。</w:t>
      </w:r>
    </w:p>
    <w:p w14:paraId="5FBEA47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（11）应急预案：制定全面的应急处理方案，包括火灾、坍塌、中毒、触电等各种紧急情况下的迅速处理措施。</w:t>
      </w:r>
    </w:p>
    <w:p w14:paraId="146AA0F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
          <w:bCs/>
          <w:color w:val="auto"/>
          <w:kern w:val="0"/>
          <w:sz w:val="28"/>
          <w:szCs w:val="28"/>
          <w:highlight w:val="none"/>
          <w:shd w:val="clear" w:color="auto" w:fill="FFFFFF"/>
          <w:vertAlign w:val="baseli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3.13保修期服务方案：按照《建设工程质量管理条例》、《房屋建筑工程质量保修办法》等有关规定制定全面的保修期服务方案。包括项目涉及的防水、装修、电气安装工程的保修服务方案。保修期内，成交供应商需及时响应采购人需求并在24小时内到达现场。</w:t>
      </w:r>
    </w:p>
    <w:p w14:paraId="2DAC5535">
      <w:pPr>
        <w:keepNext w:val="0"/>
        <w:keepLines w:val="0"/>
        <w:pageBreakBefore w:val="0"/>
        <w:widowControl w:val="0"/>
        <w:suppressLineNumbers w:val="0"/>
        <w:shd w:val="clear" w:color="auto" w:fill="auto"/>
        <w:kinsoku/>
        <w:wordWrap/>
        <w:overflowPunct/>
        <w:topLinePunct w:val="0"/>
        <w:autoSpaceDE w:val="0"/>
        <w:autoSpaceDN/>
        <w:bidi w:val="0"/>
        <w:adjustRightInd/>
        <w:snapToGrid/>
        <w:spacing w:before="0" w:beforeAutospacing="0" w:afterAutospacing="0" w:line="360" w:lineRule="auto"/>
        <w:ind w:right="0"/>
        <w:jc w:val="left"/>
        <w:textAlignment w:val="auto"/>
        <w:rPr>
          <w:rFonts w:hint="eastAsia" w:ascii="仿宋_GB2312" w:hAnsi="仿宋_GB2312" w:eastAsia="仿宋_GB2312" w:cs="仿宋_GB2312"/>
          <w:b/>
          <w:bCs/>
          <w:color w:val="auto"/>
          <w:kern w:val="0"/>
          <w:sz w:val="28"/>
          <w:szCs w:val="28"/>
          <w:highlight w:val="none"/>
          <w:shd w:val="clear" w:color="auto" w:fill="FFFFFF"/>
          <w:vertAlign w:val="baseline"/>
          <w:lang w:val="en-US" w:eastAsia="zh-CN" w:bidi="ar"/>
        </w:rPr>
      </w:pPr>
      <w:r>
        <w:rPr>
          <w:rFonts w:hint="eastAsia" w:ascii="仿宋_GB2312" w:hAnsi="仿宋_GB2312" w:eastAsia="仿宋_GB2312" w:cs="仿宋_GB2312"/>
          <w:b/>
          <w:bCs/>
          <w:color w:val="auto"/>
          <w:kern w:val="0"/>
          <w:sz w:val="28"/>
          <w:szCs w:val="28"/>
          <w:highlight w:val="none"/>
          <w:shd w:val="clear" w:color="auto" w:fill="FFFFFF"/>
          <w:vertAlign w:val="baseline"/>
          <w:lang w:val="en-US" w:eastAsia="zh-CN" w:bidi="ar"/>
        </w:rPr>
        <w:t>三、工程质量要求</w:t>
      </w:r>
    </w:p>
    <w:p w14:paraId="1A3F4FD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1.符合国家及行业规定的建筑工程质量检验评定的“合格”标准。</w:t>
      </w:r>
    </w:p>
    <w:p w14:paraId="004613E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2.成交供应商要严格按照国家颁布的现行施工规范及安全操作规程施工。</w:t>
      </w:r>
    </w:p>
    <w:p w14:paraId="132C09C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3.施工现场各种管线、设施复杂，施工期间应注意原有设备设施的保护，一旦造成损坏，成交供应商应负责修复或照价赔偿。</w:t>
      </w:r>
    </w:p>
    <w:p w14:paraId="54AE92A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4.</w:t>
      </w:r>
      <w:r>
        <w:rPr>
          <w:rFonts w:hint="eastAsia" w:ascii="仿宋_GB2312" w:hAnsi="仿宋_GB2312" w:eastAsia="仿宋_GB2312" w:cs="仿宋_GB2312"/>
          <w:b w:val="0"/>
          <w:bCs/>
          <w:color w:val="auto"/>
          <w:sz w:val="28"/>
          <w:szCs w:val="28"/>
          <w:highlight w:val="none"/>
          <w:lang w:val="en-US" w:eastAsia="zh-CN"/>
        </w:rPr>
        <w:t>整体工程质量保修期为两年，具体工程质量保修期按《建设工程质量管理条例》《房屋建筑工程质量保修办法》有关规定执行（屋面防水工程、有防水要求的卫生间、房间和外墙面的防渗漏，为5年； 电气管线、给排水管道、设备安装和装修工程，为2年）。</w:t>
      </w:r>
    </w:p>
    <w:p w14:paraId="3063863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kern w:val="2"/>
          <w:sz w:val="28"/>
          <w:szCs w:val="28"/>
          <w:highlight w:val="none"/>
          <w:lang w:val="en-US" w:eastAsia="zh-CN" w:bidi="ar"/>
        </w:rPr>
        <w:t>5.根据具体工程情况，验收前，采购人有权聘请第三方具备资质公司提供环境检测服务。如检测不及格的，采购人需聘请第三方具备资质公司提供环境净化服务，并待净化服务完成后再次进行环境检测，环境净化费用及后续的环境检测费用由成交供应商承担，直至环境检测报告的结果符合国家行业合格标准。</w:t>
      </w:r>
    </w:p>
    <w:p w14:paraId="6AEEA05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6.因</w:t>
      </w:r>
      <w:r>
        <w:rPr>
          <w:rFonts w:hint="eastAsia" w:ascii="仿宋_GB2312" w:hAnsi="仿宋_GB2312" w:eastAsia="仿宋_GB2312" w:cs="仿宋_GB2312"/>
          <w:bCs/>
          <w:color w:val="auto"/>
          <w:kern w:val="2"/>
          <w:sz w:val="28"/>
          <w:szCs w:val="28"/>
          <w:highlight w:val="none"/>
          <w:lang w:val="en-US" w:eastAsia="zh-CN" w:bidi="ar"/>
        </w:rPr>
        <w:t>成交供应商</w:t>
      </w:r>
      <w:r>
        <w:rPr>
          <w:rFonts w:hint="eastAsia" w:ascii="仿宋_GB2312" w:hAnsi="仿宋_GB2312" w:eastAsia="仿宋_GB2312" w:cs="仿宋_GB2312"/>
          <w:b w:val="0"/>
          <w:bCs/>
          <w:color w:val="auto"/>
          <w:sz w:val="28"/>
          <w:szCs w:val="28"/>
          <w:highlight w:val="none"/>
          <w:lang w:val="en-US" w:eastAsia="zh-CN"/>
        </w:rPr>
        <w:t>原因造成工程质量未达到双方约定标准的，采购人有权要求</w:t>
      </w:r>
      <w:r>
        <w:rPr>
          <w:rFonts w:hint="eastAsia" w:ascii="仿宋_GB2312" w:hAnsi="仿宋_GB2312" w:eastAsia="仿宋_GB2312" w:cs="仿宋_GB2312"/>
          <w:bCs/>
          <w:color w:val="auto"/>
          <w:kern w:val="2"/>
          <w:sz w:val="28"/>
          <w:szCs w:val="28"/>
          <w:highlight w:val="none"/>
          <w:lang w:val="en-US" w:eastAsia="zh-CN" w:bidi="ar"/>
        </w:rPr>
        <w:t>成交供应商</w:t>
      </w:r>
      <w:r>
        <w:rPr>
          <w:rFonts w:hint="eastAsia" w:ascii="仿宋_GB2312" w:hAnsi="仿宋_GB2312" w:eastAsia="仿宋_GB2312" w:cs="仿宋_GB2312"/>
          <w:b w:val="0"/>
          <w:bCs/>
          <w:color w:val="auto"/>
          <w:sz w:val="28"/>
          <w:szCs w:val="28"/>
          <w:highlight w:val="none"/>
          <w:lang w:val="en-US" w:eastAsia="zh-CN"/>
        </w:rPr>
        <w:t>在限期内返工，直至工程质量达到合同约定的标准为止，并由</w:t>
      </w:r>
      <w:r>
        <w:rPr>
          <w:rFonts w:hint="eastAsia" w:ascii="仿宋_GB2312" w:hAnsi="仿宋_GB2312" w:eastAsia="仿宋_GB2312" w:cs="仿宋_GB2312"/>
          <w:bCs/>
          <w:color w:val="auto"/>
          <w:kern w:val="2"/>
          <w:sz w:val="28"/>
          <w:szCs w:val="28"/>
          <w:highlight w:val="none"/>
          <w:lang w:val="en-US" w:eastAsia="zh-CN" w:bidi="ar"/>
        </w:rPr>
        <w:t>成交供应商</w:t>
      </w:r>
      <w:r>
        <w:rPr>
          <w:rFonts w:hint="eastAsia" w:ascii="仿宋_GB2312" w:hAnsi="仿宋_GB2312" w:eastAsia="仿宋_GB2312" w:cs="仿宋_GB2312"/>
          <w:b w:val="0"/>
          <w:bCs/>
          <w:color w:val="auto"/>
          <w:sz w:val="28"/>
          <w:szCs w:val="28"/>
          <w:highlight w:val="none"/>
          <w:lang w:val="en-US" w:eastAsia="zh-CN"/>
        </w:rPr>
        <w:t>承担由此增加的费用和（或）延误的工期。</w:t>
      </w:r>
    </w:p>
    <w:p w14:paraId="6444AAC8">
      <w:pPr>
        <w:pStyle w:val="8"/>
        <w:keepNext w:val="0"/>
        <w:keepLines w:val="0"/>
        <w:pageBreakBefore w:val="0"/>
        <w:widowControl w:val="0"/>
        <w:kinsoku/>
        <w:wordWrap/>
        <w:overflowPunct/>
        <w:topLinePunct w:val="0"/>
        <w:autoSpaceDN/>
        <w:bidi w:val="0"/>
        <w:adjustRightInd/>
        <w:snapToGrid/>
        <w:spacing w:line="360" w:lineRule="auto"/>
        <w:ind w:left="0" w:leftChars="0" w:firstLine="0" w:firstLineChars="0"/>
        <w:textAlignment w:val="auto"/>
        <w:rPr>
          <w:rFonts w:hint="eastAsia" w:ascii="仿宋_GB2312" w:hAnsi="仿宋_GB2312" w:eastAsia="仿宋_GB2312" w:cs="仿宋_GB2312"/>
          <w:b/>
          <w:color w:val="auto"/>
          <w:sz w:val="28"/>
          <w:szCs w:val="28"/>
          <w:highlight w:val="none"/>
          <w:lang w:val="en-US" w:eastAsia="zh-CN"/>
        </w:rPr>
      </w:pPr>
      <w:r>
        <w:rPr>
          <w:rFonts w:hint="eastAsia" w:ascii="仿宋_GB2312" w:hAnsi="仿宋_GB2312" w:eastAsia="仿宋_GB2312" w:cs="仿宋_GB2312"/>
          <w:b/>
          <w:bCs/>
          <w:i w:val="0"/>
          <w:iCs w:val="0"/>
          <w:caps w:val="0"/>
          <w:color w:val="auto"/>
          <w:spacing w:val="0"/>
          <w:sz w:val="28"/>
          <w:szCs w:val="28"/>
          <w:highlight w:val="none"/>
          <w:shd w:val="clear" w:color="auto" w:fill="FFFFFF"/>
          <w:vertAlign w:val="baseline"/>
          <w:lang w:eastAsia="zh-CN"/>
        </w:rPr>
        <w:t>四、</w:t>
      </w:r>
      <w:r>
        <w:rPr>
          <w:rFonts w:hint="eastAsia" w:ascii="仿宋_GB2312" w:hAnsi="仿宋_GB2312" w:eastAsia="仿宋_GB2312" w:cs="仿宋_GB2312"/>
          <w:b/>
          <w:color w:val="auto"/>
          <w:sz w:val="28"/>
          <w:szCs w:val="28"/>
          <w:highlight w:val="none"/>
          <w:lang w:val="en-US" w:eastAsia="zh-CN"/>
        </w:rPr>
        <w:t>材料及设备要求</w:t>
      </w:r>
    </w:p>
    <w:p w14:paraId="78AC750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1.本项目施工所需的设备，由成交供应商自行解决（相关费用已包含在成交价中）。</w:t>
      </w:r>
    </w:p>
    <w:p w14:paraId="43F264A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本项目所用材料，由成交供应商自行采购（相关费用已包含在成交价中）。所用材料必须符合国家及行业质量要求，主要材料需提供出厂合格证或检验报告并经采购人、设计单位、监理单位（若有）共同确认之后方可使用。</w:t>
      </w:r>
    </w:p>
    <w:p w14:paraId="596712C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
          <w:bCs/>
          <w:i w:val="0"/>
          <w:iCs w:val="0"/>
          <w:caps w:val="0"/>
          <w:color w:val="auto"/>
          <w:spacing w:val="0"/>
          <w:sz w:val="28"/>
          <w:szCs w:val="28"/>
          <w:highlight w:val="none"/>
          <w:shd w:val="clear" w:color="auto" w:fill="FFFFFF"/>
          <w:vertAlign w:val="baseline"/>
          <w:lang w:eastAsia="zh-CN"/>
        </w:rPr>
      </w:pPr>
      <w:r>
        <w:rPr>
          <w:rFonts w:hint="eastAsia" w:ascii="仿宋_GB2312" w:hAnsi="仿宋_GB2312" w:eastAsia="仿宋_GB2312" w:cs="仿宋_GB2312"/>
          <w:bCs/>
          <w:color w:val="auto"/>
          <w:kern w:val="2"/>
          <w:sz w:val="28"/>
          <w:szCs w:val="28"/>
          <w:highlight w:val="none"/>
          <w:lang w:val="en-US" w:eastAsia="zh-CN" w:bidi="ar"/>
        </w:rPr>
        <w:t>3.采购人保留对本工程使用之主要材料品质确认审查的权利及保留另行委托第三方检测机构对本工程进行独立检测的权利。</w:t>
      </w:r>
    </w:p>
    <w:p w14:paraId="113E25F6">
      <w:pPr>
        <w:keepNext w:val="0"/>
        <w:keepLines w:val="0"/>
        <w:pageBreakBefore w:val="0"/>
        <w:widowControl w:val="0"/>
        <w:kinsoku/>
        <w:wordWrap/>
        <w:overflowPunct/>
        <w:topLinePunct w:val="0"/>
        <w:autoSpaceDN/>
        <w:bidi w:val="0"/>
        <w:adjustRightInd/>
        <w:snapToGrid/>
        <w:spacing w:line="360" w:lineRule="auto"/>
        <w:jc w:val="both"/>
        <w:textAlignment w:val="auto"/>
        <w:rPr>
          <w:rFonts w:hint="eastAsia" w:ascii="仿宋_GB2312" w:hAnsi="仿宋_GB2312" w:eastAsia="仿宋_GB2312" w:cs="仿宋_GB2312"/>
          <w:b/>
          <w:bCs/>
          <w:i w:val="0"/>
          <w:iCs w:val="0"/>
          <w:caps w:val="0"/>
          <w:color w:val="auto"/>
          <w:spacing w:val="0"/>
          <w:sz w:val="28"/>
          <w:szCs w:val="28"/>
          <w:highlight w:val="none"/>
          <w:shd w:val="clear" w:color="auto" w:fill="FFFFFF"/>
          <w:vertAlign w:val="baseline"/>
          <w:lang w:eastAsia="zh-CN"/>
        </w:rPr>
      </w:pPr>
      <w:r>
        <w:rPr>
          <w:rFonts w:hint="eastAsia" w:ascii="仿宋_GB2312" w:hAnsi="仿宋_GB2312" w:eastAsia="仿宋_GB2312" w:cs="仿宋_GB2312"/>
          <w:b/>
          <w:bCs/>
          <w:i w:val="0"/>
          <w:iCs w:val="0"/>
          <w:caps w:val="0"/>
          <w:color w:val="auto"/>
          <w:spacing w:val="0"/>
          <w:sz w:val="28"/>
          <w:szCs w:val="28"/>
          <w:highlight w:val="none"/>
          <w:shd w:val="clear" w:color="auto" w:fill="FFFFFF"/>
          <w:vertAlign w:val="baseline"/>
          <w:lang w:val="en-US" w:eastAsia="zh-CN"/>
        </w:rPr>
        <w:t>五</w:t>
      </w:r>
      <w:r>
        <w:rPr>
          <w:rFonts w:hint="eastAsia" w:ascii="仿宋_GB2312" w:hAnsi="仿宋_GB2312" w:eastAsia="仿宋_GB2312" w:cs="仿宋_GB2312"/>
          <w:b/>
          <w:bCs/>
          <w:i w:val="0"/>
          <w:iCs w:val="0"/>
          <w:caps w:val="0"/>
          <w:color w:val="auto"/>
          <w:spacing w:val="0"/>
          <w:sz w:val="28"/>
          <w:szCs w:val="28"/>
          <w:highlight w:val="none"/>
          <w:shd w:val="clear" w:color="auto" w:fill="FFFFFF"/>
          <w:vertAlign w:val="baseline"/>
          <w:lang w:eastAsia="zh-CN"/>
        </w:rPr>
        <w:t>、验收</w:t>
      </w:r>
    </w:p>
    <w:p w14:paraId="6B23735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1.严格按国家、省、市现行的质量评定标准和施工验收规范、规程进行施工和验收。本工程以设计变更和参照《建筑工程施工质量验收统一标准》（GB50300-2013）、《建筑装饰装修工程质量验收标准》（GB50210-2018）等国家制订的施工及验收规范为质量评定验收标准，并达到合格标准。</w:t>
      </w:r>
    </w:p>
    <w:p w14:paraId="032E4BC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bCs/>
          <w:color w:val="auto"/>
          <w:kern w:val="2"/>
          <w:sz w:val="28"/>
          <w:szCs w:val="28"/>
          <w:highlight w:val="none"/>
          <w:lang w:val="en-US" w:eastAsia="zh-CN" w:bidi="ar"/>
        </w:rPr>
      </w:pPr>
      <w:r>
        <w:rPr>
          <w:rFonts w:hint="eastAsia" w:ascii="仿宋_GB2312" w:hAnsi="仿宋_GB2312" w:eastAsia="仿宋_GB2312" w:cs="仿宋_GB2312"/>
          <w:bCs/>
          <w:color w:val="auto"/>
          <w:kern w:val="2"/>
          <w:sz w:val="28"/>
          <w:szCs w:val="28"/>
          <w:highlight w:val="none"/>
          <w:lang w:val="en-US" w:eastAsia="zh-CN" w:bidi="ar"/>
        </w:rPr>
        <w:t>2.成交供应商必须负责并保证本工程通过采购人组织的验收。</w:t>
      </w:r>
    </w:p>
    <w:p w14:paraId="0028083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Autospacing="0" w:line="360" w:lineRule="auto"/>
        <w:ind w:left="0" w:right="0" w:firstLine="560" w:firstLineChars="200"/>
        <w:jc w:val="left"/>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bCs/>
          <w:color w:val="auto"/>
          <w:kern w:val="2"/>
          <w:sz w:val="28"/>
          <w:szCs w:val="28"/>
          <w:highlight w:val="none"/>
          <w:lang w:val="en-US" w:eastAsia="zh-CN" w:bidi="ar"/>
        </w:rPr>
        <w:t>3.本项目质保期自竣工验收合格之日起计算。在工程验收时，成交供应商向采购人出具质量保修书，质保期内出现的质量问题由成交供应商无条件保修。</w:t>
      </w:r>
    </w:p>
    <w:p w14:paraId="1D23A339">
      <w:pPr>
        <w:pStyle w:val="2"/>
        <w:keepNext w:val="0"/>
        <w:keepLines w:val="0"/>
        <w:pageBreakBefore w:val="0"/>
        <w:widowControl w:val="0"/>
        <w:numPr>
          <w:ilvl w:val="0"/>
          <w:numId w:val="0"/>
        </w:numPr>
        <w:kinsoku/>
        <w:wordWrap/>
        <w:overflowPunct/>
        <w:topLinePunct w:val="0"/>
        <w:autoSpaceDN/>
        <w:bidi w:val="0"/>
        <w:adjustRightInd/>
        <w:snapToGrid/>
        <w:spacing w:after="0" w:afterLines="0"/>
        <w:jc w:val="left"/>
        <w:textAlignment w:val="auto"/>
        <w:rPr>
          <w:rFonts w:hint="eastAsia" w:ascii="仿宋_GB2312" w:hAnsi="仿宋_GB2312" w:cs="仿宋_GB2312"/>
          <w:b/>
          <w:sz w:val="28"/>
          <w:szCs w:val="28"/>
          <w:lang w:val="en-US" w:eastAsia="zh-CN"/>
        </w:rPr>
      </w:pPr>
      <w:r>
        <w:rPr>
          <w:rFonts w:hint="eastAsia" w:ascii="仿宋_GB2312" w:hAnsi="仿宋_GB2312" w:cs="仿宋_GB2312"/>
          <w:b/>
          <w:kern w:val="2"/>
          <w:sz w:val="28"/>
          <w:szCs w:val="28"/>
          <w:lang w:val="en-US" w:eastAsia="zh-CN" w:bidi="ar-SA"/>
        </w:rPr>
        <w:t>六</w:t>
      </w:r>
      <w:r>
        <w:rPr>
          <w:rFonts w:hint="eastAsia" w:ascii="仿宋_GB2312" w:hAnsi="仿宋_GB2312" w:eastAsia="仿宋_GB2312" w:cs="仿宋_GB2312"/>
          <w:b/>
          <w:kern w:val="2"/>
          <w:sz w:val="28"/>
          <w:szCs w:val="28"/>
          <w:lang w:val="en-US" w:eastAsia="zh-CN" w:bidi="ar-SA"/>
        </w:rPr>
        <w:t>、</w:t>
      </w:r>
      <w:r>
        <w:rPr>
          <w:rFonts w:hint="eastAsia" w:ascii="仿宋_GB2312" w:hAnsi="仿宋_GB2312" w:cs="仿宋_GB2312"/>
          <w:b/>
          <w:sz w:val="28"/>
          <w:szCs w:val="28"/>
          <w:lang w:val="en-US" w:eastAsia="zh-CN"/>
        </w:rPr>
        <w:t>付款方式</w:t>
      </w:r>
    </w:p>
    <w:p w14:paraId="14DFFC00">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1.本项目不设预付款，乙方在组织施工前必须按使用科室及医院管理科室的施工要求提供施工报价，此报价仅作为医院施工申请审批使用。</w:t>
      </w:r>
    </w:p>
    <w:p w14:paraId="4626E17F">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2.本项目按季度结算，按照实际工程量，乙方出具工程施工款项申请，甲方定期委托第三方具备资质公司进行施工结算审核，每季度最终结算金额按乙方该季度所有施工项目的报价之和与第三方结算审核单位的工程结算费用的结算价（即该月所有施工项目的结算审核价之和×中选折扣率）按“就低”原则确定，如存在违约金的，则需扣除违约金额。</w:t>
      </w:r>
    </w:p>
    <w:p w14:paraId="2330F97A">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default" w:ascii="仿宋_GB2312" w:hAnsi="仿宋_GB2312" w:cs="仿宋_GB2312"/>
          <w:sz w:val="28"/>
          <w:szCs w:val="28"/>
          <w:lang w:val="en-US" w:eastAsia="zh-CN"/>
        </w:rPr>
      </w:pPr>
      <w:r>
        <w:rPr>
          <w:rFonts w:hint="eastAsia" w:ascii="仿宋_GB2312" w:hAnsi="仿宋_GB2312" w:cs="仿宋_GB2312"/>
          <w:sz w:val="28"/>
          <w:szCs w:val="28"/>
          <w:lang w:val="en-US" w:eastAsia="zh-CN"/>
        </w:rPr>
        <w:t>3.每季度完成结算审核并确定结算金额后，甲方按该季度费用的100%支付给乙方。当累计结算金额超过10万元时，需经具备资质的第三方结算审核机构审核，最终按审核核定价格向乙方支付相应工程款项。</w:t>
      </w:r>
    </w:p>
    <w:p w14:paraId="3AB6C1D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4.甲方每次付款前，乙方必须向甲方开具等额有效的发票，甲方在收到等额发票及相应付款要求提供的资料后60天内支付，乙方迟延提供发票的，甲方付款时间相应顺延。同时，具体款项到账时间以甲方所涉相关部门审核到账时间为准，甲方向有关部门请款时间不计算在内。</w:t>
      </w:r>
    </w:p>
    <w:p w14:paraId="38C11BC2">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5.付款方式：银行转账形式。</w:t>
      </w:r>
    </w:p>
    <w:p w14:paraId="6D9E5257">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6.申请付款需提交的资料包括：</w:t>
      </w:r>
    </w:p>
    <w:p w14:paraId="6E6F4B19">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（1）发票；</w:t>
      </w:r>
    </w:p>
    <w:p w14:paraId="0FE84171">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（2）工程竣工验收合格证明资料；</w:t>
      </w:r>
    </w:p>
    <w:p w14:paraId="5099316B">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（3）合同书；</w:t>
      </w:r>
    </w:p>
    <w:p w14:paraId="037C4BA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（4）申请付款对应装修、修缮工程定点服务采购合同；</w:t>
      </w:r>
    </w:p>
    <w:p w14:paraId="6BCFE1DA">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（5）对应装修、修缮工程施工前后照片；</w:t>
      </w:r>
    </w:p>
    <w:p w14:paraId="120D7E11">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ind w:firstLine="560" w:firstLineChars="200"/>
        <w:textAlignment w:val="auto"/>
        <w:rPr>
          <w:rFonts w:hint="eastAsia" w:ascii="仿宋_GB2312" w:hAnsi="仿宋_GB2312" w:cs="仿宋_GB2312"/>
          <w:sz w:val="28"/>
          <w:szCs w:val="28"/>
          <w:lang w:val="en-US" w:eastAsia="zh-CN"/>
        </w:rPr>
      </w:pPr>
      <w:r>
        <w:rPr>
          <w:rFonts w:hint="eastAsia" w:ascii="仿宋_GB2312" w:hAnsi="仿宋_GB2312" w:cs="仿宋_GB2312"/>
          <w:sz w:val="28"/>
          <w:szCs w:val="28"/>
          <w:lang w:val="en-US" w:eastAsia="zh-CN"/>
        </w:rPr>
        <w:t>（6）甲方要求的其他资料（如有）。</w:t>
      </w:r>
    </w:p>
    <w:bookmarkEnd w:id="0"/>
    <w:p w14:paraId="701105D2">
      <w:pPr>
        <w:pStyle w:val="2"/>
        <w:numPr>
          <w:ilvl w:val="0"/>
          <w:numId w:val="0"/>
        </w:numPr>
        <w:wordWrap w:val="0"/>
        <w:jc w:val="right"/>
        <w:rPr>
          <w:rFonts w:hint="eastAsia" w:ascii="仿宋_GB2312" w:hAnsi="仿宋_GB2312" w:cs="仿宋_GB2312"/>
          <w:b/>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D836EB"/>
    <w:rsid w:val="0CA53A3E"/>
    <w:rsid w:val="108C1CE9"/>
    <w:rsid w:val="17CA6999"/>
    <w:rsid w:val="1EC341D8"/>
    <w:rsid w:val="254F6883"/>
    <w:rsid w:val="266F4098"/>
    <w:rsid w:val="33557238"/>
    <w:rsid w:val="3429592E"/>
    <w:rsid w:val="3ACF169C"/>
    <w:rsid w:val="3DBF0FE8"/>
    <w:rsid w:val="42D836EB"/>
    <w:rsid w:val="4F196932"/>
    <w:rsid w:val="5AB36DD5"/>
    <w:rsid w:val="6044285D"/>
    <w:rsid w:val="71321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left"/>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0"/>
    <w:pPr>
      <w:keepNext/>
      <w:keepLines/>
      <w:spacing w:line="578" w:lineRule="auto"/>
      <w:jc w:val="center"/>
      <w:outlineLvl w:val="0"/>
    </w:pPr>
    <w:rPr>
      <w:rFonts w:ascii="Times New Roman" w:hAnsi="Times New Roman" w:eastAsia="宋体" w:cs="Times New Roman"/>
      <w:b/>
      <w:bCs/>
      <w:kern w:val="44"/>
      <w:sz w:val="36"/>
      <w:szCs w:val="44"/>
    </w:rPr>
  </w:style>
  <w:style w:type="paragraph" w:styleId="4">
    <w:name w:val="heading 2"/>
    <w:basedOn w:val="1"/>
    <w:next w:val="5"/>
    <w:link w:val="13"/>
    <w:semiHidden/>
    <w:unhideWhenUsed/>
    <w:qFormat/>
    <w:uiPriority w:val="0"/>
    <w:pPr>
      <w:keepNext/>
      <w:keepLines/>
      <w:spacing w:line="480" w:lineRule="auto"/>
      <w:jc w:val="center"/>
      <w:outlineLvl w:val="1"/>
    </w:pPr>
    <w:rPr>
      <w:rFonts w:ascii="Arial" w:hAnsi="Arial" w:eastAsia="宋体"/>
      <w:b/>
      <w:bCs/>
      <w:sz w:val="32"/>
      <w:szCs w:val="32"/>
    </w:rPr>
  </w:style>
  <w:style w:type="paragraph" w:styleId="6">
    <w:name w:val="heading 3"/>
    <w:basedOn w:val="1"/>
    <w:next w:val="1"/>
    <w:link w:val="14"/>
    <w:semiHidden/>
    <w:unhideWhenUsed/>
    <w:qFormat/>
    <w:uiPriority w:val="0"/>
    <w:pPr>
      <w:keepNext/>
      <w:keepLines/>
      <w:spacing w:beforeLines="0" w:beforeAutospacing="0" w:afterLines="0" w:afterAutospacing="0" w:line="480" w:lineRule="auto"/>
      <w:jc w:val="left"/>
      <w:outlineLvl w:val="2"/>
    </w:pPr>
    <w:rPr>
      <w:rFonts w:eastAsia="宋体"/>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rPr>
      <w:rFonts w:ascii="Times New Roman" w:hAnsi="Times New Roman" w:eastAsia="仿宋_GB2312"/>
      <w:sz w:val="28"/>
    </w:rPr>
  </w:style>
  <w:style w:type="paragraph" w:styleId="5">
    <w:name w:val="Normal Indent"/>
    <w:basedOn w:val="1"/>
    <w:qFormat/>
    <w:uiPriority w:val="0"/>
    <w:pPr>
      <w:ind w:firstLine="420" w:firstLineChars="200"/>
    </w:pPr>
  </w:style>
  <w:style w:type="paragraph" w:styleId="7">
    <w:name w:val="Body Text Indent"/>
    <w:basedOn w:val="1"/>
    <w:qFormat/>
    <w:uiPriority w:val="99"/>
    <w:pPr>
      <w:spacing w:after="120"/>
      <w:ind w:left="420" w:leftChars="200"/>
    </w:pPr>
    <w:rPr>
      <w:rFonts w:cs="Times New Roman"/>
    </w:rPr>
  </w:style>
  <w:style w:type="paragraph" w:styleId="8">
    <w:name w:val="toc 5"/>
    <w:basedOn w:val="1"/>
    <w:next w:val="1"/>
    <w:qFormat/>
    <w:uiPriority w:val="0"/>
    <w:pPr>
      <w:ind w:left="840"/>
      <w:jc w:val="left"/>
    </w:pPr>
    <w:rPr>
      <w:rFonts w:cs="Calibri"/>
      <w:sz w:val="18"/>
      <w:szCs w:val="18"/>
    </w:rPr>
  </w:style>
  <w:style w:type="paragraph" w:styleId="9">
    <w:name w:val="Body Text First Indent 2"/>
    <w:basedOn w:val="7"/>
    <w:qFormat/>
    <w:uiPriority w:val="0"/>
    <w:pPr>
      <w:spacing w:after="0"/>
      <w:ind w:left="824" w:leftChars="400" w:firstLine="420" w:firstLineChars="200"/>
    </w:pPr>
    <w:rPr>
      <w:rFonts w:ascii="宋体" w:hAnsi="宋体" w:cs="Times New Roma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2 Char"/>
    <w:link w:val="4"/>
    <w:qFormat/>
    <w:uiPriority w:val="0"/>
    <w:rPr>
      <w:rFonts w:ascii="Arial" w:hAnsi="Arial" w:eastAsia="宋体" w:cs="Times New Roman"/>
      <w:b/>
      <w:bCs/>
      <w:sz w:val="32"/>
      <w:szCs w:val="32"/>
    </w:rPr>
  </w:style>
  <w:style w:type="character" w:customStyle="1" w:styleId="14">
    <w:name w:val="标题 3 Char"/>
    <w:link w:val="6"/>
    <w:qFormat/>
    <w:uiPriority w:val="0"/>
    <w:rPr>
      <w:rFonts w:eastAsia="宋体"/>
      <w:b/>
      <w:sz w:val="28"/>
    </w:rPr>
  </w:style>
  <w:style w:type="paragraph" w:customStyle="1" w:styleId="15">
    <w:name w:val="表格文字"/>
    <w:basedOn w:val="1"/>
    <w:qFormat/>
    <w:uiPriority w:val="0"/>
    <w:pPr>
      <w:widowControl w:val="0"/>
      <w:spacing w:before="25" w:beforeLines="0" w:after="25" w:afterLines="0" w:line="300" w:lineRule="auto"/>
      <w:jc w:val="both"/>
    </w:pPr>
    <w:rPr>
      <w:rFonts w:ascii="Times" w:hAnsi="Times"/>
      <w:spacing w:val="10"/>
      <w:sz w:val="24"/>
    </w:rPr>
  </w:style>
  <w:style w:type="paragraph" w:customStyle="1" w:styleId="16">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4092</Words>
  <Characters>4217</Characters>
  <Lines>0</Lines>
  <Paragraphs>0</Paragraphs>
  <TotalTime>17</TotalTime>
  <ScaleCrop>false</ScaleCrop>
  <LinksUpToDate>false</LinksUpToDate>
  <CharactersWithSpaces>4218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2025-08-13T01:00:00Z</dcterms:created>
  <dc:creator>_xcy</dc:creator>
  <cp:lastModifiedBy>chis</cp:lastModifiedBy>
  <dcterms:modified xsi:type="dcterms:W3CDTF">2026-10-22T08:48:22Z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537152F1C8544A38839CF802DF2CF5C3_11</vt:lpwstr>
  </property>
  <property fmtid="{D5CDD505-2E9C-101B-9397-08002B2CF9AE}" pid="4" name="KSOTemplateDocerSaveRecord">
    <vt:lpwstr>eyJoZGlkIjoiN2M1YWNmZTFiMDBlYjdkNDJjOTA0ZjFkNDA2N2FmZWUiLCJ1c2VySWQiOiI2NDkzNjEyODAifQ==</vt:lpwstr>
  </property>
</Properties>
</file>