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8542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r>
        <w:rPr>
          <w:rFonts w:hint="eastAsia" w:ascii="微软雅黑" w:hAnsi="微软雅黑" w:eastAsia="微软雅黑" w:cs="微软雅黑"/>
          <w:i w:val="0"/>
          <w:iCs w:val="0"/>
          <w:caps w:val="0"/>
          <w:color w:val="2B2B2B"/>
          <w:spacing w:val="0"/>
          <w:sz w:val="24"/>
          <w:szCs w:val="24"/>
          <w:shd w:val="clear" w:fill="FFFFFF"/>
        </w:rPr>
        <w:t>附件</w:t>
      </w:r>
      <w:r>
        <w:rPr>
          <w:rFonts w:hint="eastAsia" w:ascii="微软雅黑" w:hAnsi="微软雅黑" w:eastAsia="微软雅黑" w:cs="微软雅黑"/>
          <w:i w:val="0"/>
          <w:iCs w:val="0"/>
          <w:caps w:val="0"/>
          <w:color w:val="2B2B2B"/>
          <w:spacing w:val="0"/>
          <w:sz w:val="24"/>
          <w:szCs w:val="24"/>
          <w:shd w:val="clear" w:fill="FFFFFF"/>
          <w:lang w:val="en-US" w:eastAsia="zh-CN"/>
        </w:rPr>
        <w:t>2</w:t>
      </w:r>
      <w:bookmarkStart w:id="0" w:name="_GoBack"/>
      <w:bookmarkEnd w:id="0"/>
    </w:p>
    <w:p w14:paraId="05CE3008">
      <w:pPr>
        <w:pStyle w:val="19"/>
        <w:widowControl/>
        <w:numPr>
          <w:ilvl w:val="0"/>
          <w:numId w:val="0"/>
        </w:numPr>
        <w:shd w:val="clear"/>
        <w:spacing w:line="360" w:lineRule="auto"/>
        <w:ind w:left="720" w:leftChars="0" w:hanging="720" w:firstLineChars="0"/>
        <w:jc w:val="center"/>
        <w:rPr>
          <w:rFonts w:hint="eastAsia" w:ascii="微软雅黑" w:hAnsi="微软雅黑" w:eastAsia="微软雅黑" w:cs="微软雅黑"/>
          <w:b/>
          <w:color w:val="auto"/>
          <w:sz w:val="28"/>
          <w:szCs w:val="28"/>
          <w:lang w:val="en-US" w:eastAsia="zh-CN"/>
        </w:rPr>
      </w:pPr>
      <w:r>
        <w:rPr>
          <w:rFonts w:hint="eastAsia" w:ascii="微软雅黑" w:hAnsi="微软雅黑" w:eastAsia="微软雅黑" w:cs="微软雅黑"/>
          <w:b/>
          <w:color w:val="auto"/>
          <w:sz w:val="28"/>
          <w:szCs w:val="28"/>
          <w:lang w:val="en-US" w:eastAsia="zh-CN"/>
        </w:rPr>
        <w:t>采购需求</w:t>
      </w:r>
    </w:p>
    <w:p w14:paraId="275D203D">
      <w:pPr>
        <w:pStyle w:val="19"/>
        <w:widowControl/>
        <w:numPr>
          <w:ilvl w:val="0"/>
          <w:numId w:val="0"/>
        </w:numP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default" w:ascii="微软雅黑" w:hAnsi="微软雅黑" w:eastAsia="微软雅黑" w:cs="微软雅黑"/>
          <w:b/>
          <w:bCs w:val="0"/>
          <w:color w:val="auto"/>
          <w:kern w:val="2"/>
          <w:sz w:val="24"/>
          <w:szCs w:val="24"/>
          <w:lang w:val="en-US" w:eastAsia="zh-CN" w:bidi="ar-SA"/>
        </w:rPr>
        <w:t>一、</w:t>
      </w:r>
      <w:r>
        <w:rPr>
          <w:rFonts w:hint="eastAsia" w:ascii="微软雅黑" w:hAnsi="微软雅黑" w:eastAsia="微软雅黑" w:cs="微软雅黑"/>
          <w:b/>
          <w:bCs w:val="0"/>
          <w:color w:val="auto"/>
          <w:kern w:val="2"/>
          <w:sz w:val="24"/>
          <w:szCs w:val="24"/>
          <w:lang w:val="en-US" w:eastAsia="zh-CN" w:bidi="ar-SA"/>
        </w:rPr>
        <w:t>项目基本情况</w:t>
      </w:r>
    </w:p>
    <w:tbl>
      <w:tblPr>
        <w:tblStyle w:val="14"/>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0"/>
        <w:gridCol w:w="5723"/>
      </w:tblGrid>
      <w:tr w14:paraId="02A8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230" w:type="dxa"/>
          </w:tcPr>
          <w:p w14:paraId="66EAFF37">
            <w:pPr>
              <w:spacing w:line="360" w:lineRule="auto"/>
              <w:jc w:val="center"/>
              <w:rPr>
                <w:rFonts w:hint="eastAsia" w:ascii="微软雅黑" w:hAnsi="微软雅黑" w:eastAsia="微软雅黑" w:cs="微软雅黑"/>
                <w:i w:val="0"/>
                <w:iCs w:val="0"/>
                <w:color w:val="auto"/>
                <w:sz w:val="24"/>
                <w:szCs w:val="24"/>
              </w:rPr>
            </w:pPr>
            <w:r>
              <w:rPr>
                <w:rFonts w:hint="eastAsia" w:ascii="微软雅黑" w:hAnsi="微软雅黑" w:eastAsia="微软雅黑" w:cs="微软雅黑"/>
                <w:i w:val="0"/>
                <w:iCs w:val="0"/>
                <w:color w:val="auto"/>
                <w:sz w:val="24"/>
                <w:szCs w:val="24"/>
              </w:rPr>
              <w:t>项目名称</w:t>
            </w:r>
          </w:p>
        </w:tc>
        <w:tc>
          <w:tcPr>
            <w:tcW w:w="5723" w:type="dxa"/>
            <w:vAlign w:val="center"/>
          </w:tcPr>
          <w:p w14:paraId="006DFF07">
            <w:pPr>
              <w:spacing w:line="360" w:lineRule="auto"/>
              <w:jc w:val="center"/>
              <w:rPr>
                <w:rFonts w:hint="eastAsia" w:ascii="微软雅黑" w:hAnsi="微软雅黑" w:eastAsia="微软雅黑" w:cs="微软雅黑"/>
                <w:i w:val="0"/>
                <w:iCs w:val="0"/>
                <w:color w:val="auto"/>
                <w:sz w:val="24"/>
                <w:szCs w:val="24"/>
                <w:lang w:val="en-US" w:eastAsia="zh-CN"/>
              </w:rPr>
            </w:pPr>
            <w:r>
              <w:rPr>
                <w:rFonts w:hint="eastAsia" w:ascii="微软雅黑" w:hAnsi="微软雅黑" w:eastAsia="微软雅黑" w:cs="微软雅黑"/>
                <w:i w:val="0"/>
                <w:iCs w:val="0"/>
                <w:caps w:val="0"/>
                <w:color w:val="auto"/>
                <w:spacing w:val="0"/>
                <w:sz w:val="24"/>
                <w:szCs w:val="24"/>
                <w:shd w:val="clear" w:fill="FFFFFF"/>
                <w:lang w:eastAsia="zh-CN"/>
              </w:rPr>
              <w:t>中山市口腔医院2026年院服采购项目</w:t>
            </w:r>
          </w:p>
        </w:tc>
      </w:tr>
      <w:tr w14:paraId="3799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230" w:type="dxa"/>
          </w:tcPr>
          <w:p w14:paraId="44ECE8B7">
            <w:pPr>
              <w:spacing w:line="360" w:lineRule="auto"/>
              <w:jc w:val="center"/>
              <w:rPr>
                <w:rFonts w:hint="eastAsia" w:ascii="微软雅黑" w:hAnsi="微软雅黑" w:eastAsia="微软雅黑" w:cs="微软雅黑"/>
                <w:i w:val="0"/>
                <w:iCs w:val="0"/>
                <w:color w:val="auto"/>
                <w:sz w:val="24"/>
                <w:szCs w:val="24"/>
                <w:lang w:eastAsia="zh-CN"/>
              </w:rPr>
            </w:pPr>
            <w:r>
              <w:rPr>
                <w:rFonts w:hint="eastAsia" w:ascii="微软雅黑" w:hAnsi="微软雅黑" w:eastAsia="微软雅黑" w:cs="微软雅黑"/>
                <w:i w:val="0"/>
                <w:iCs w:val="0"/>
                <w:color w:val="auto"/>
                <w:sz w:val="24"/>
                <w:szCs w:val="24"/>
                <w:lang w:eastAsia="zh-CN"/>
              </w:rPr>
              <w:t>采购预算金额</w:t>
            </w:r>
          </w:p>
        </w:tc>
        <w:tc>
          <w:tcPr>
            <w:tcW w:w="5723" w:type="dxa"/>
          </w:tcPr>
          <w:p w14:paraId="4D49B931">
            <w:pPr>
              <w:spacing w:line="360" w:lineRule="auto"/>
              <w:jc w:val="center"/>
              <w:rPr>
                <w:rFonts w:hint="eastAsia" w:ascii="微软雅黑" w:hAnsi="微软雅黑" w:eastAsia="微软雅黑" w:cs="微软雅黑"/>
                <w:i w:val="0"/>
                <w:iCs w:val="0"/>
                <w:color w:val="auto"/>
                <w:sz w:val="24"/>
                <w:szCs w:val="24"/>
              </w:rPr>
            </w:pPr>
            <w:r>
              <w:rPr>
                <w:rFonts w:hint="eastAsia" w:ascii="微软雅黑" w:hAnsi="微软雅黑" w:eastAsia="微软雅黑" w:cs="微软雅黑"/>
                <w:i w:val="0"/>
                <w:iCs w:val="0"/>
                <w:caps w:val="0"/>
                <w:color w:val="auto"/>
                <w:spacing w:val="0"/>
                <w:sz w:val="24"/>
                <w:szCs w:val="24"/>
                <w:shd w:val="clear" w:fill="FFFFFF"/>
                <w:lang w:val="en-US" w:eastAsia="zh-CN"/>
              </w:rPr>
              <w:t>15000元</w:t>
            </w:r>
          </w:p>
        </w:tc>
      </w:tr>
    </w:tbl>
    <w:p w14:paraId="2A81CF6C">
      <w:pPr>
        <w:pStyle w:val="19"/>
        <w:widowControl/>
        <w:numPr>
          <w:ilvl w:val="0"/>
          <w:numId w:val="0"/>
        </w:numP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default" w:ascii="微软雅黑" w:hAnsi="微软雅黑" w:eastAsia="微软雅黑" w:cs="微软雅黑"/>
          <w:b/>
          <w:bCs w:val="0"/>
          <w:color w:val="auto"/>
          <w:kern w:val="2"/>
          <w:sz w:val="24"/>
          <w:szCs w:val="24"/>
          <w:lang w:val="en-US" w:eastAsia="zh-CN" w:bidi="ar-SA"/>
        </w:rPr>
        <w:t>二、</w:t>
      </w:r>
      <w:r>
        <w:rPr>
          <w:rFonts w:hint="eastAsia" w:ascii="微软雅黑" w:hAnsi="微软雅黑" w:eastAsia="微软雅黑" w:cs="微软雅黑"/>
          <w:b/>
          <w:bCs w:val="0"/>
          <w:color w:val="auto"/>
          <w:kern w:val="2"/>
          <w:sz w:val="24"/>
          <w:szCs w:val="24"/>
          <w:lang w:val="en-US" w:eastAsia="zh-CN" w:bidi="ar-SA"/>
        </w:rPr>
        <w:t>采购货物名称清单</w:t>
      </w:r>
    </w:p>
    <w:tbl>
      <w:tblPr>
        <w:tblStyle w:val="13"/>
        <w:tblW w:w="9058"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396"/>
        <w:gridCol w:w="1712"/>
        <w:gridCol w:w="2900"/>
      </w:tblGrid>
      <w:tr w14:paraId="746C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0" w:type="dxa"/>
            <w:shd w:val="clear" w:color="auto" w:fill="auto"/>
            <w:tcMar>
              <w:top w:w="0" w:type="dxa"/>
              <w:right w:w="0" w:type="dxa"/>
            </w:tcMar>
            <w:vAlign w:val="center"/>
          </w:tcPr>
          <w:p w14:paraId="26B972D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color w:val="000000" w:themeColor="text1"/>
                <w:kern w:val="0"/>
                <w:sz w:val="24"/>
                <w:szCs w:val="24"/>
                <w14:textFill>
                  <w14:solidFill>
                    <w14:schemeClr w14:val="tx1"/>
                  </w14:solidFill>
                </w14:textFill>
              </w:rPr>
            </w:pPr>
            <w:r>
              <w:rPr>
                <w:rFonts w:hint="eastAsia" w:ascii="微软雅黑" w:hAnsi="微软雅黑" w:eastAsia="微软雅黑" w:cs="微软雅黑"/>
                <w:color w:val="000000" w:themeColor="text1"/>
                <w:kern w:val="0"/>
                <w:sz w:val="24"/>
                <w:szCs w:val="24"/>
                <w14:textFill>
                  <w14:solidFill>
                    <w14:schemeClr w14:val="tx1"/>
                  </w14:solidFill>
                </w14:textFill>
              </w:rPr>
              <w:t>序号</w:t>
            </w:r>
          </w:p>
        </w:tc>
        <w:tc>
          <w:tcPr>
            <w:tcW w:w="3396" w:type="dxa"/>
            <w:shd w:val="clear" w:color="auto" w:fill="auto"/>
            <w:tcMar>
              <w:top w:w="0" w:type="dxa"/>
              <w:right w:w="0" w:type="dxa"/>
            </w:tcMar>
            <w:vAlign w:val="center"/>
          </w:tcPr>
          <w:p w14:paraId="0EA02EE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color w:val="000000" w:themeColor="text1"/>
                <w:kern w:val="0"/>
                <w:sz w:val="24"/>
                <w:szCs w:val="24"/>
                <w14:textFill>
                  <w14:solidFill>
                    <w14:schemeClr w14:val="tx1"/>
                  </w14:solidFill>
                </w14:textFill>
              </w:rPr>
            </w:pPr>
            <w:r>
              <w:rPr>
                <w:rFonts w:hint="eastAsia" w:ascii="微软雅黑" w:hAnsi="微软雅黑" w:eastAsia="微软雅黑" w:cs="微软雅黑"/>
                <w:color w:val="000000" w:themeColor="text1"/>
                <w:kern w:val="0"/>
                <w:sz w:val="24"/>
                <w:szCs w:val="24"/>
                <w:lang w:val="en-US" w:eastAsia="zh-CN"/>
                <w14:textFill>
                  <w14:solidFill>
                    <w14:schemeClr w14:val="tx1"/>
                  </w14:solidFill>
                </w14:textFill>
              </w:rPr>
              <w:t>货物</w:t>
            </w:r>
            <w:r>
              <w:rPr>
                <w:rFonts w:hint="eastAsia" w:ascii="微软雅黑" w:hAnsi="微软雅黑" w:eastAsia="微软雅黑" w:cs="微软雅黑"/>
                <w:color w:val="000000" w:themeColor="text1"/>
                <w:kern w:val="0"/>
                <w:sz w:val="24"/>
                <w:szCs w:val="24"/>
                <w14:textFill>
                  <w14:solidFill>
                    <w14:schemeClr w14:val="tx1"/>
                  </w14:solidFill>
                </w14:textFill>
              </w:rPr>
              <w:t>名称</w:t>
            </w:r>
          </w:p>
        </w:tc>
        <w:tc>
          <w:tcPr>
            <w:tcW w:w="1712" w:type="dxa"/>
            <w:shd w:val="clear" w:color="auto" w:fill="auto"/>
            <w:tcMar>
              <w:top w:w="0" w:type="dxa"/>
              <w:right w:w="0" w:type="dxa"/>
            </w:tcMar>
            <w:vAlign w:val="center"/>
          </w:tcPr>
          <w:p w14:paraId="1C11DDE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color w:val="000000" w:themeColor="text1"/>
                <w:kern w:val="0"/>
                <w:sz w:val="24"/>
                <w:szCs w:val="24"/>
                <w14:textFill>
                  <w14:solidFill>
                    <w14:schemeClr w14:val="tx1"/>
                  </w14:solidFill>
                </w14:textFill>
              </w:rPr>
            </w:pPr>
            <w:r>
              <w:rPr>
                <w:rFonts w:hint="eastAsia" w:ascii="微软雅黑" w:hAnsi="微软雅黑" w:eastAsia="微软雅黑" w:cs="微软雅黑"/>
                <w:color w:val="000000" w:themeColor="text1"/>
                <w:kern w:val="0"/>
                <w:sz w:val="24"/>
                <w:szCs w:val="24"/>
                <w14:textFill>
                  <w14:solidFill>
                    <w14:schemeClr w14:val="tx1"/>
                  </w14:solidFill>
                </w14:textFill>
              </w:rPr>
              <w:t>计量单位</w:t>
            </w:r>
          </w:p>
        </w:tc>
        <w:tc>
          <w:tcPr>
            <w:tcW w:w="2900" w:type="dxa"/>
            <w:shd w:val="clear" w:color="auto" w:fill="auto"/>
            <w:tcMar>
              <w:top w:w="0" w:type="dxa"/>
              <w:right w:w="0" w:type="dxa"/>
            </w:tcMar>
            <w:vAlign w:val="center"/>
          </w:tcPr>
          <w:p w14:paraId="3E44F15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color w:val="000000" w:themeColor="text1"/>
                <w:kern w:val="0"/>
                <w:sz w:val="24"/>
                <w:szCs w:val="24"/>
                <w14:textFill>
                  <w14:solidFill>
                    <w14:schemeClr w14:val="tx1"/>
                  </w14:solidFill>
                </w14:textFill>
              </w:rPr>
            </w:pPr>
            <w:r>
              <w:rPr>
                <w:rFonts w:hint="eastAsia" w:ascii="微软雅黑" w:hAnsi="微软雅黑" w:eastAsia="微软雅黑" w:cs="微软雅黑"/>
                <w:color w:val="000000" w:themeColor="text1"/>
                <w:kern w:val="0"/>
                <w:sz w:val="24"/>
                <w:szCs w:val="24"/>
                <w14:textFill>
                  <w14:solidFill>
                    <w14:schemeClr w14:val="tx1"/>
                  </w14:solidFill>
                </w14:textFill>
              </w:rPr>
              <w:t>数量</w:t>
            </w:r>
          </w:p>
        </w:tc>
      </w:tr>
      <w:tr w14:paraId="74E7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50" w:type="dxa"/>
            <w:shd w:val="clear" w:color="auto" w:fill="auto"/>
            <w:tcMar>
              <w:top w:w="0" w:type="dxa"/>
              <w:right w:w="0" w:type="dxa"/>
            </w:tcMar>
            <w:vAlign w:val="center"/>
          </w:tcPr>
          <w:p w14:paraId="02E24AA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color w:val="auto"/>
                <w:kern w:val="0"/>
                <w:sz w:val="24"/>
                <w:szCs w:val="24"/>
                <w:lang w:val="en-US" w:eastAsia="zh-CN"/>
              </w:rPr>
              <w:t>1</w:t>
            </w:r>
          </w:p>
        </w:tc>
        <w:tc>
          <w:tcPr>
            <w:tcW w:w="3396" w:type="dxa"/>
            <w:shd w:val="clear" w:color="auto" w:fill="auto"/>
            <w:tcMar>
              <w:top w:w="0" w:type="dxa"/>
              <w:right w:w="0" w:type="dxa"/>
            </w:tcMar>
            <w:vAlign w:val="center"/>
          </w:tcPr>
          <w:p w14:paraId="48DBDD2D">
            <w:pPr>
              <w:keepNext w:val="0"/>
              <w:keepLines w:val="0"/>
              <w:widowControl/>
              <w:suppressLineNumbers w:val="0"/>
              <w:jc w:val="center"/>
              <w:textAlignment w:val="center"/>
              <w:rPr>
                <w:rFonts w:hint="default" w:ascii="微软雅黑" w:hAnsi="微软雅黑" w:eastAsia="微软雅黑" w:cs="微软雅黑"/>
                <w:color w:val="auto"/>
                <w:ker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衬衫（长袖/短袖）</w:t>
            </w:r>
          </w:p>
        </w:tc>
        <w:tc>
          <w:tcPr>
            <w:tcW w:w="1712" w:type="dxa"/>
            <w:shd w:val="clear" w:color="auto" w:fill="auto"/>
            <w:tcMar>
              <w:top w:w="0" w:type="dxa"/>
              <w:right w:w="0" w:type="dxa"/>
            </w:tcMar>
            <w:vAlign w:val="center"/>
          </w:tcPr>
          <w:p w14:paraId="48F75AF3">
            <w:pPr>
              <w:keepNext w:val="0"/>
              <w:keepLines w:val="0"/>
              <w:widowControl/>
              <w:suppressLineNumbers w:val="0"/>
              <w:jc w:val="center"/>
              <w:textAlignment w:val="center"/>
              <w:rPr>
                <w:rFonts w:hint="default" w:ascii="微软雅黑" w:hAnsi="微软雅黑" w:eastAsia="微软雅黑" w:cs="微软雅黑"/>
                <w:color w:val="auto"/>
                <w:kern w:val="0"/>
                <w:sz w:val="24"/>
                <w:szCs w:val="24"/>
                <w:lang w:val="en-US"/>
              </w:rPr>
            </w:pPr>
            <w:r>
              <w:rPr>
                <w:rFonts w:hint="eastAsia" w:ascii="宋体" w:hAnsi="宋体" w:eastAsia="宋体" w:cs="宋体"/>
                <w:i w:val="0"/>
                <w:iCs w:val="0"/>
                <w:color w:val="000000"/>
                <w:kern w:val="0"/>
                <w:sz w:val="20"/>
                <w:szCs w:val="20"/>
                <w:u w:val="none"/>
                <w:lang w:val="en-US" w:eastAsia="zh-CN" w:bidi="ar"/>
              </w:rPr>
              <w:t>件</w:t>
            </w:r>
          </w:p>
        </w:tc>
        <w:tc>
          <w:tcPr>
            <w:tcW w:w="2900" w:type="dxa"/>
            <w:shd w:val="clear" w:color="auto" w:fill="auto"/>
            <w:tcMar>
              <w:top w:w="0" w:type="dxa"/>
              <w:right w:w="0" w:type="dxa"/>
            </w:tcMar>
            <w:vAlign w:val="center"/>
          </w:tcPr>
          <w:p w14:paraId="3A1EDB3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微软雅黑" w:hAnsi="微软雅黑" w:eastAsia="宋体" w:cs="微软雅黑"/>
                <w:color w:val="auto"/>
                <w:kern w:val="0"/>
                <w:sz w:val="24"/>
                <w:szCs w:val="24"/>
                <w:lang w:val="en-US" w:eastAsia="zh-CN"/>
              </w:rPr>
            </w:pPr>
            <w:r>
              <w:rPr>
                <w:rFonts w:hint="eastAsia"/>
                <w:lang w:val="en-US" w:eastAsia="zh-CN"/>
              </w:rPr>
              <w:t>按以实际结算</w:t>
            </w:r>
          </w:p>
        </w:tc>
      </w:tr>
      <w:tr w14:paraId="4AA8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50" w:type="dxa"/>
            <w:shd w:val="clear" w:color="auto" w:fill="auto"/>
            <w:tcMar>
              <w:top w:w="0" w:type="dxa"/>
              <w:right w:w="0" w:type="dxa"/>
            </w:tcMar>
            <w:vAlign w:val="center"/>
          </w:tcPr>
          <w:p w14:paraId="2977D33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微软雅黑" w:hAnsi="微软雅黑" w:eastAsia="微软雅黑" w:cs="微软雅黑"/>
                <w:color w:val="auto"/>
                <w:kern w:val="0"/>
                <w:sz w:val="24"/>
                <w:szCs w:val="24"/>
                <w:lang w:val="en-US" w:eastAsia="zh-CN"/>
              </w:rPr>
            </w:pPr>
            <w:r>
              <w:rPr>
                <w:rFonts w:hint="eastAsia" w:ascii="微软雅黑" w:hAnsi="微软雅黑" w:eastAsia="微软雅黑" w:cs="微软雅黑"/>
                <w:color w:val="auto"/>
                <w:kern w:val="0"/>
                <w:sz w:val="24"/>
                <w:szCs w:val="24"/>
                <w:lang w:val="en-US" w:eastAsia="zh-CN"/>
              </w:rPr>
              <w:t>2</w:t>
            </w:r>
          </w:p>
        </w:tc>
        <w:tc>
          <w:tcPr>
            <w:tcW w:w="3396" w:type="dxa"/>
            <w:shd w:val="clear" w:color="auto" w:fill="auto"/>
            <w:tcMar>
              <w:top w:w="0" w:type="dxa"/>
              <w:right w:w="0" w:type="dxa"/>
            </w:tcMar>
            <w:vAlign w:val="center"/>
          </w:tcPr>
          <w:p w14:paraId="0A6987DC">
            <w:pPr>
              <w:keepNext w:val="0"/>
              <w:keepLines w:val="0"/>
              <w:widowControl/>
              <w:suppressLineNumbers w:val="0"/>
              <w:jc w:val="center"/>
              <w:textAlignment w:val="center"/>
              <w:rPr>
                <w:rFonts w:hint="eastAsia" w:ascii="微软雅黑" w:hAnsi="微软雅黑" w:eastAsia="微软雅黑" w:cs="微软雅黑"/>
                <w:color w:val="auto"/>
                <w:ker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长西裤</w:t>
            </w:r>
          </w:p>
        </w:tc>
        <w:tc>
          <w:tcPr>
            <w:tcW w:w="1712" w:type="dxa"/>
            <w:shd w:val="clear" w:color="auto" w:fill="auto"/>
            <w:tcMar>
              <w:top w:w="0" w:type="dxa"/>
              <w:right w:w="0" w:type="dxa"/>
            </w:tcMar>
            <w:vAlign w:val="center"/>
          </w:tcPr>
          <w:p w14:paraId="1B8DB6A9">
            <w:pPr>
              <w:keepNext w:val="0"/>
              <w:keepLines w:val="0"/>
              <w:widowControl/>
              <w:suppressLineNumbers w:val="0"/>
              <w:jc w:val="center"/>
              <w:textAlignment w:val="center"/>
              <w:rPr>
                <w:rFonts w:hint="eastAsia" w:ascii="微软雅黑" w:hAnsi="微软雅黑" w:eastAsia="微软雅黑" w:cs="微软雅黑"/>
                <w:i w:val="0"/>
                <w:iCs w:val="0"/>
                <w:color w:val="auto"/>
                <w:sz w:val="24"/>
                <w:szCs w:val="24"/>
                <w:highlight w:val="yellow"/>
                <w:lang w:val="en-US" w:eastAsia="zh-CN"/>
              </w:rPr>
            </w:pPr>
            <w:r>
              <w:rPr>
                <w:rFonts w:hint="eastAsia" w:ascii="宋体" w:hAnsi="宋体" w:eastAsia="宋体" w:cs="宋体"/>
                <w:i w:val="0"/>
                <w:iCs w:val="0"/>
                <w:color w:val="000000"/>
                <w:kern w:val="0"/>
                <w:sz w:val="20"/>
                <w:szCs w:val="20"/>
                <w:u w:val="none"/>
                <w:lang w:val="en-US" w:eastAsia="zh-CN" w:bidi="ar"/>
              </w:rPr>
              <w:t>条</w:t>
            </w:r>
          </w:p>
        </w:tc>
        <w:tc>
          <w:tcPr>
            <w:tcW w:w="2900" w:type="dxa"/>
            <w:shd w:val="clear" w:color="auto" w:fill="auto"/>
            <w:tcMar>
              <w:top w:w="0" w:type="dxa"/>
              <w:right w:w="0" w:type="dxa"/>
            </w:tcMar>
            <w:vAlign w:val="center"/>
          </w:tcPr>
          <w:p w14:paraId="48E6A56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color w:val="auto"/>
                <w:kern w:val="0"/>
                <w:sz w:val="24"/>
                <w:szCs w:val="24"/>
                <w:lang w:val="en-US" w:eastAsia="zh-CN"/>
              </w:rPr>
            </w:pPr>
            <w:r>
              <w:rPr>
                <w:rFonts w:hint="eastAsia"/>
                <w:lang w:val="en-US" w:eastAsia="zh-CN"/>
              </w:rPr>
              <w:t>按以实际结算</w:t>
            </w:r>
          </w:p>
        </w:tc>
      </w:tr>
      <w:tr w14:paraId="05DD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50" w:type="dxa"/>
            <w:shd w:val="clear" w:color="auto" w:fill="auto"/>
            <w:tcMar>
              <w:top w:w="0" w:type="dxa"/>
              <w:right w:w="0" w:type="dxa"/>
            </w:tcMar>
            <w:vAlign w:val="center"/>
          </w:tcPr>
          <w:p w14:paraId="360F7EA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微软雅黑" w:hAnsi="微软雅黑" w:eastAsia="微软雅黑" w:cs="微软雅黑"/>
                <w:color w:val="auto"/>
                <w:kern w:val="0"/>
                <w:sz w:val="24"/>
                <w:szCs w:val="24"/>
                <w:lang w:val="en-US" w:eastAsia="zh-CN"/>
              </w:rPr>
            </w:pPr>
            <w:r>
              <w:rPr>
                <w:rFonts w:hint="eastAsia" w:ascii="微软雅黑" w:hAnsi="微软雅黑" w:eastAsia="微软雅黑" w:cs="微软雅黑"/>
                <w:color w:val="auto"/>
                <w:kern w:val="0"/>
                <w:sz w:val="24"/>
                <w:szCs w:val="24"/>
                <w:lang w:val="en-US" w:eastAsia="zh-CN"/>
              </w:rPr>
              <w:t>3</w:t>
            </w:r>
          </w:p>
        </w:tc>
        <w:tc>
          <w:tcPr>
            <w:tcW w:w="3396" w:type="dxa"/>
            <w:shd w:val="clear" w:color="auto" w:fill="auto"/>
            <w:tcMar>
              <w:top w:w="0" w:type="dxa"/>
              <w:right w:w="0" w:type="dxa"/>
            </w:tcMar>
            <w:vAlign w:val="center"/>
          </w:tcPr>
          <w:p w14:paraId="37185727">
            <w:pPr>
              <w:keepNext w:val="0"/>
              <w:keepLines w:val="0"/>
              <w:widowControl/>
              <w:suppressLineNumbers w:val="0"/>
              <w:jc w:val="center"/>
              <w:textAlignment w:val="center"/>
              <w:rPr>
                <w:rFonts w:hint="eastAsia" w:ascii="微软雅黑" w:hAnsi="微软雅黑" w:eastAsia="微软雅黑" w:cs="微软雅黑"/>
                <w:color w:val="auto"/>
                <w:ker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职能短袖衬衫</w:t>
            </w:r>
          </w:p>
        </w:tc>
        <w:tc>
          <w:tcPr>
            <w:tcW w:w="1712" w:type="dxa"/>
            <w:shd w:val="clear" w:color="auto" w:fill="auto"/>
            <w:tcMar>
              <w:top w:w="0" w:type="dxa"/>
              <w:right w:w="0" w:type="dxa"/>
            </w:tcMar>
            <w:vAlign w:val="center"/>
          </w:tcPr>
          <w:p w14:paraId="304D1CF3">
            <w:pPr>
              <w:keepNext w:val="0"/>
              <w:keepLines w:val="0"/>
              <w:widowControl/>
              <w:suppressLineNumbers w:val="0"/>
              <w:jc w:val="center"/>
              <w:textAlignment w:val="center"/>
              <w:rPr>
                <w:rFonts w:hint="eastAsia" w:ascii="微软雅黑" w:hAnsi="微软雅黑" w:eastAsia="微软雅黑" w:cs="微软雅黑"/>
                <w:i w:val="0"/>
                <w:iCs w:val="0"/>
                <w:color w:val="auto"/>
                <w:sz w:val="24"/>
                <w:szCs w:val="24"/>
                <w:highlight w:val="yellow"/>
                <w:lang w:val="en-US" w:eastAsia="zh-CN"/>
              </w:rPr>
            </w:pPr>
            <w:r>
              <w:rPr>
                <w:rFonts w:hint="eastAsia" w:ascii="宋体" w:hAnsi="宋体" w:eastAsia="宋体" w:cs="宋体"/>
                <w:i w:val="0"/>
                <w:iCs w:val="0"/>
                <w:color w:val="000000"/>
                <w:kern w:val="0"/>
                <w:sz w:val="20"/>
                <w:szCs w:val="20"/>
                <w:u w:val="none"/>
                <w:lang w:val="en-US" w:eastAsia="zh-CN" w:bidi="ar"/>
              </w:rPr>
              <w:t>条</w:t>
            </w:r>
          </w:p>
        </w:tc>
        <w:tc>
          <w:tcPr>
            <w:tcW w:w="2900" w:type="dxa"/>
            <w:shd w:val="clear" w:color="auto" w:fill="auto"/>
            <w:tcMar>
              <w:top w:w="0" w:type="dxa"/>
              <w:right w:w="0" w:type="dxa"/>
            </w:tcMar>
            <w:vAlign w:val="center"/>
          </w:tcPr>
          <w:p w14:paraId="2805032B">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color w:val="auto"/>
                <w:kern w:val="0"/>
                <w:sz w:val="24"/>
                <w:szCs w:val="24"/>
                <w:lang w:val="en-US" w:eastAsia="zh-CN"/>
              </w:rPr>
            </w:pPr>
            <w:r>
              <w:rPr>
                <w:rFonts w:hint="eastAsia"/>
                <w:lang w:val="en-US" w:eastAsia="zh-CN"/>
              </w:rPr>
              <w:t>按以实际结算</w:t>
            </w:r>
          </w:p>
        </w:tc>
      </w:tr>
    </w:tbl>
    <w:p w14:paraId="6D966B24">
      <w:pPr>
        <w:pStyle w:val="19"/>
        <w:widowControl/>
        <w:numPr>
          <w:ilvl w:val="0"/>
          <w:numId w:val="0"/>
        </w:numP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三、技术要求</w:t>
      </w:r>
    </w:p>
    <w:tbl>
      <w:tblPr>
        <w:tblStyle w:val="14"/>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5526"/>
        <w:gridCol w:w="3072"/>
      </w:tblGrid>
      <w:tr w14:paraId="07A4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01" w:type="dxa"/>
            <w:noWrap w:val="0"/>
            <w:vAlign w:val="center"/>
          </w:tcPr>
          <w:p w14:paraId="1588C71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b/>
                <w:bCs/>
                <w:color w:val="auto"/>
                <w:kern w:val="0"/>
                <w:sz w:val="24"/>
                <w:szCs w:val="24"/>
                <w:lang w:val="en-US" w:eastAsia="zh-CN"/>
              </w:rPr>
            </w:pPr>
            <w:r>
              <w:rPr>
                <w:rFonts w:hint="eastAsia" w:ascii="微软雅黑" w:hAnsi="微软雅黑" w:eastAsia="微软雅黑" w:cs="微软雅黑"/>
                <w:b/>
                <w:bCs/>
                <w:color w:val="auto"/>
                <w:kern w:val="0"/>
                <w:sz w:val="24"/>
                <w:szCs w:val="24"/>
                <w:lang w:val="en-US" w:eastAsia="zh-CN"/>
              </w:rPr>
              <w:t>名称</w:t>
            </w:r>
          </w:p>
        </w:tc>
        <w:tc>
          <w:tcPr>
            <w:tcW w:w="5526" w:type="dxa"/>
            <w:noWrap w:val="0"/>
            <w:vAlign w:val="center"/>
          </w:tcPr>
          <w:p w14:paraId="0A35322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b/>
                <w:bCs/>
                <w:color w:val="auto"/>
                <w:kern w:val="0"/>
                <w:sz w:val="24"/>
                <w:szCs w:val="24"/>
                <w:lang w:val="en-US" w:eastAsia="zh-CN"/>
              </w:rPr>
            </w:pPr>
            <w:r>
              <w:rPr>
                <w:rFonts w:hint="eastAsia" w:ascii="微软雅黑" w:hAnsi="微软雅黑" w:eastAsia="微软雅黑" w:cs="微软雅黑"/>
                <w:b/>
                <w:bCs/>
                <w:color w:val="auto"/>
                <w:kern w:val="0"/>
                <w:sz w:val="24"/>
                <w:szCs w:val="24"/>
                <w:lang w:val="en-US" w:eastAsia="zh-CN"/>
              </w:rPr>
              <w:t>技术参数要求</w:t>
            </w:r>
          </w:p>
        </w:tc>
        <w:tc>
          <w:tcPr>
            <w:tcW w:w="3072" w:type="dxa"/>
            <w:noWrap w:val="0"/>
            <w:vAlign w:val="center"/>
          </w:tcPr>
          <w:p w14:paraId="7DBE145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微软雅黑" w:hAnsi="微软雅黑" w:eastAsia="微软雅黑" w:cs="微软雅黑"/>
                <w:b/>
                <w:bCs/>
                <w:color w:val="auto"/>
                <w:kern w:val="0"/>
                <w:sz w:val="24"/>
                <w:szCs w:val="24"/>
                <w:lang w:val="en-US" w:eastAsia="zh-CN"/>
              </w:rPr>
            </w:pPr>
            <w:r>
              <w:rPr>
                <w:rFonts w:hint="eastAsia" w:ascii="微软雅黑" w:hAnsi="微软雅黑" w:eastAsia="微软雅黑" w:cs="微软雅黑"/>
                <w:b/>
                <w:bCs/>
                <w:color w:val="auto"/>
                <w:kern w:val="0"/>
                <w:sz w:val="24"/>
                <w:szCs w:val="24"/>
                <w:lang w:val="en-US" w:eastAsia="zh-CN"/>
              </w:rPr>
              <w:t>配置要求（至少需包括以下配置）</w:t>
            </w:r>
          </w:p>
        </w:tc>
      </w:tr>
      <w:tr w14:paraId="3977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3" w:hRule="atLeast"/>
          <w:jc w:val="center"/>
        </w:trPr>
        <w:tc>
          <w:tcPr>
            <w:tcW w:w="801" w:type="dxa"/>
            <w:noWrap w:val="0"/>
            <w:vAlign w:val="center"/>
          </w:tcPr>
          <w:p w14:paraId="1569E2B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微软雅黑" w:hAnsi="微软雅黑" w:eastAsia="微软雅黑" w:cs="微软雅黑"/>
                <w:color w:val="auto"/>
                <w:kern w:val="0"/>
                <w:sz w:val="24"/>
                <w:szCs w:val="24"/>
                <w:lang w:val="en-US" w:eastAsia="zh-CN"/>
              </w:rPr>
            </w:pPr>
            <w:r>
              <w:rPr>
                <w:rFonts w:hint="eastAsia" w:ascii="微软雅黑" w:hAnsi="微软雅黑" w:eastAsia="微软雅黑" w:cs="微软雅黑"/>
                <w:color w:val="auto"/>
                <w:kern w:val="0"/>
                <w:sz w:val="24"/>
                <w:szCs w:val="24"/>
                <w:lang w:val="en-US" w:eastAsia="zh-CN"/>
              </w:rPr>
              <w:t>医师节上衣T恤</w:t>
            </w:r>
          </w:p>
        </w:tc>
        <w:tc>
          <w:tcPr>
            <w:tcW w:w="5526" w:type="dxa"/>
            <w:noWrap w:val="0"/>
            <w:vAlign w:val="center"/>
          </w:tcPr>
          <w:p w14:paraId="2FD9AEA5">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default" w:ascii="微软雅黑" w:hAnsi="微软雅黑" w:eastAsia="微软雅黑" w:cs="微软雅黑"/>
                <w:color w:val="auto"/>
                <w:kern w:val="0"/>
                <w:sz w:val="24"/>
                <w:szCs w:val="24"/>
                <w:lang w:val="en-US" w:eastAsia="zh-CN"/>
              </w:rPr>
            </w:pPr>
            <w:r>
              <w:rPr>
                <w:rFonts w:hint="default" w:ascii="微软雅黑" w:hAnsi="微软雅黑" w:eastAsia="微软雅黑" w:cs="微软雅黑"/>
                <w:color w:val="auto"/>
                <w:kern w:val="0"/>
                <w:sz w:val="24"/>
                <w:szCs w:val="24"/>
                <w:lang w:val="en-US" w:eastAsia="zh-CN"/>
              </w:rPr>
              <w:t>1、制作要求：量身定制，配原色线，绣院标，车缝线路顺直、底面均匀、不漂线、不跳针、起落处回针、剪口锁边，衣领、前后上下肩、袖、钮门与钮扣对正，不偏不斜，不歪整齐，熨烫平整美观，孔巾包布四边包边，中间一律不准打岔线。</w:t>
            </w:r>
          </w:p>
          <w:p w14:paraId="1BF5FDB0">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default" w:ascii="微软雅黑" w:hAnsi="微软雅黑" w:eastAsia="微软雅黑" w:cs="微软雅黑"/>
                <w:color w:val="auto"/>
                <w:kern w:val="0"/>
                <w:sz w:val="24"/>
                <w:szCs w:val="24"/>
                <w:lang w:val="en-US" w:eastAsia="zh-CN"/>
              </w:rPr>
            </w:pPr>
            <w:r>
              <w:rPr>
                <w:rFonts w:hint="default" w:ascii="微软雅黑" w:hAnsi="微软雅黑" w:eastAsia="微软雅黑" w:cs="微软雅黑"/>
                <w:color w:val="auto"/>
                <w:kern w:val="0"/>
                <w:sz w:val="24"/>
                <w:szCs w:val="24"/>
                <w:lang w:val="en-US" w:eastAsia="zh-CN"/>
              </w:rPr>
              <w:t>2、承诺所提供产品无毒无害、不含致癌物的合格产品。</w:t>
            </w:r>
          </w:p>
          <w:p w14:paraId="247C9399">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default" w:ascii="微软雅黑" w:hAnsi="微软雅黑" w:eastAsia="微软雅黑" w:cs="微软雅黑"/>
                <w:color w:val="auto"/>
                <w:kern w:val="0"/>
                <w:sz w:val="24"/>
                <w:szCs w:val="24"/>
                <w:lang w:val="en-US" w:eastAsia="zh-CN"/>
              </w:rPr>
            </w:pPr>
            <w:r>
              <w:rPr>
                <w:rFonts w:hint="default" w:ascii="微软雅黑" w:hAnsi="微软雅黑" w:eastAsia="微软雅黑" w:cs="微软雅黑"/>
                <w:color w:val="auto"/>
                <w:kern w:val="0"/>
                <w:sz w:val="24"/>
                <w:szCs w:val="24"/>
                <w:lang w:val="en-US" w:eastAsia="zh-CN"/>
              </w:rPr>
              <w:t>3、合同签订后按照采购人选定的的样版规格及款式制作，如采购人对某些采购物品的规格、颜色、图案、款式等进行调整更改，成交供应商应按采购人要求进行制作。所有新制作的样品须经采购人同意、并由采购人代表确认合格后方可批量生产。</w:t>
            </w:r>
          </w:p>
        </w:tc>
        <w:tc>
          <w:tcPr>
            <w:tcW w:w="3072" w:type="dxa"/>
            <w:noWrap w:val="0"/>
            <w:vAlign w:val="top"/>
          </w:tcPr>
          <w:p w14:paraId="31230C12">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default" w:ascii="微软雅黑" w:hAnsi="微软雅黑" w:eastAsia="微软雅黑" w:cs="微软雅黑"/>
                <w:color w:val="auto"/>
                <w:kern w:val="0"/>
                <w:sz w:val="24"/>
                <w:szCs w:val="24"/>
                <w:lang w:val="en-US" w:eastAsia="zh-CN"/>
              </w:rPr>
            </w:pPr>
            <w:r>
              <w:rPr>
                <w:rFonts w:hint="eastAsia" w:ascii="微软雅黑" w:hAnsi="微软雅黑" w:eastAsia="微软雅黑" w:cs="微软雅黑"/>
                <w:color w:val="auto"/>
                <w:kern w:val="0"/>
                <w:sz w:val="24"/>
                <w:szCs w:val="24"/>
                <w:lang w:val="en-US" w:eastAsia="zh-CN"/>
              </w:rPr>
              <w:t>须要</w:t>
            </w:r>
            <w:r>
              <w:rPr>
                <w:rFonts w:hint="default" w:ascii="微软雅黑" w:hAnsi="微软雅黑" w:eastAsia="微软雅黑" w:cs="微软雅黑"/>
                <w:color w:val="auto"/>
                <w:kern w:val="0"/>
                <w:sz w:val="24"/>
                <w:szCs w:val="24"/>
                <w:lang w:val="en-US" w:eastAsia="zh-CN"/>
              </w:rPr>
              <w:t>增加采购人logo（刺绣方式），logo样式见下图。</w:t>
            </w:r>
          </w:p>
          <w:p w14:paraId="769DCD6B">
            <w:pPr>
              <w:keepNext w:val="0"/>
              <w:keepLines w:val="0"/>
              <w:pageBreakBefore w:val="0"/>
              <w:wordWrap/>
              <w:overflowPunct/>
              <w:topLinePunct w:val="0"/>
              <w:bidi w:val="0"/>
              <w:spacing w:before="153" w:line="360" w:lineRule="auto"/>
              <w:ind w:firstLine="480" w:firstLineChars="200"/>
              <w:rPr>
                <w:sz w:val="21"/>
                <w:szCs w:val="21"/>
              </w:rPr>
            </w:pPr>
            <w:r>
              <w:drawing>
                <wp:inline distT="0" distB="0" distL="114300" distR="114300">
                  <wp:extent cx="1557655" cy="1395730"/>
                  <wp:effectExtent l="0" t="0" r="444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rcRect l="22500" t="38490" r="22697" b="24729"/>
                          <a:stretch>
                            <a:fillRect/>
                          </a:stretch>
                        </pic:blipFill>
                        <pic:spPr>
                          <a:xfrm>
                            <a:off x="0" y="0"/>
                            <a:ext cx="1557655" cy="1395730"/>
                          </a:xfrm>
                          <a:prstGeom prst="rect">
                            <a:avLst/>
                          </a:prstGeom>
                          <a:noFill/>
                          <a:ln w="9525">
                            <a:noFill/>
                          </a:ln>
                        </pic:spPr>
                      </pic:pic>
                    </a:graphicData>
                  </a:graphic>
                </wp:inline>
              </w:drawing>
            </w:r>
          </w:p>
          <w:p w14:paraId="3CCF8DB7">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default" w:ascii="微软雅黑" w:hAnsi="微软雅黑" w:eastAsia="微软雅黑" w:cs="微软雅黑"/>
                <w:color w:val="auto"/>
                <w:kern w:val="0"/>
                <w:sz w:val="24"/>
                <w:szCs w:val="24"/>
                <w:lang w:val="en-US" w:eastAsia="zh-CN"/>
              </w:rPr>
            </w:pPr>
          </w:p>
        </w:tc>
      </w:tr>
    </w:tbl>
    <w:p w14:paraId="3E0E2554">
      <w:pPr>
        <w:pStyle w:val="19"/>
        <w:widowControl/>
        <w:numPr>
          <w:ilvl w:val="0"/>
          <w:numId w:val="0"/>
        </w:numP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四、商务要求</w:t>
      </w:r>
    </w:p>
    <w:p w14:paraId="4006B8B3">
      <w:pPr>
        <w:bidi w:val="0"/>
        <w:rPr>
          <w:rFonts w:hint="eastAsia" w:ascii="微软雅黑" w:hAnsi="微软雅黑" w:eastAsia="微软雅黑" w:cs="微软雅黑"/>
          <w:highlight w:val="none"/>
          <w:lang w:val="en-US" w:eastAsia="zh-CN"/>
        </w:rPr>
      </w:pPr>
      <w:r>
        <w:rPr>
          <w:rFonts w:hint="eastAsia" w:ascii="微软雅黑" w:hAnsi="微软雅黑" w:eastAsia="微软雅黑" w:cs="微软雅黑"/>
          <w:b/>
          <w:bCs/>
          <w:lang w:val="en-US" w:eastAsia="zh-CN"/>
        </w:rPr>
        <w:t>（一）报价要求</w:t>
      </w:r>
    </w:p>
    <w:p w14:paraId="7653C2ED">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1.供应商报价应包括完成项目所必须的全部货物、税费、运费、保险费、仓储费、质保</w:t>
      </w:r>
      <w:r>
        <w:rPr>
          <w:rFonts w:hint="eastAsia" w:ascii="微软雅黑" w:hAnsi="微软雅黑" w:eastAsia="微软雅黑" w:cs="微软雅黑"/>
          <w:highlight w:val="none"/>
          <w:lang w:val="en-US" w:eastAsia="zh-CN"/>
        </w:rPr>
        <w:t>、售后服</w:t>
      </w:r>
      <w:r>
        <w:rPr>
          <w:rFonts w:hint="eastAsia" w:ascii="微软雅黑" w:hAnsi="微软雅黑" w:eastAsia="微软雅黑" w:cs="微软雅黑"/>
          <w:lang w:val="en-US" w:eastAsia="zh-CN"/>
        </w:rPr>
        <w:t>务、人工费、上门服务费等全部费用。报价以人民币为货币单位，单价、小计和总价应清楚表达。</w:t>
      </w:r>
    </w:p>
    <w:p w14:paraId="41BD082F">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2.本项目由成交供应商负责本项目需求对成交供应商要求的一切事宜及责任，如果供应商在签署合同后，在项目实施过程中出现报价内容的任何遗漏，均由成交供应商提供，采购人将不再支付任何费用。</w:t>
      </w:r>
    </w:p>
    <w:p w14:paraId="45C9C834">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3.成交供应商须开具与响应文件中供应商名称、报价一致的发票。</w:t>
      </w:r>
    </w:p>
    <w:p w14:paraId="02886062">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4.货币：人民币。</w:t>
      </w:r>
    </w:p>
    <w:p w14:paraId="0C1984BC">
      <w:pPr>
        <w:bidi w:val="0"/>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（二）到货地点、时间</w:t>
      </w:r>
    </w:p>
    <w:p w14:paraId="32AC02D5">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1.到货地点：中山市口腔医院</w:t>
      </w:r>
    </w:p>
    <w:p w14:paraId="7924A42B">
      <w:pPr>
        <w:bidi w:val="0"/>
        <w:rPr>
          <w:rFonts w:hint="eastAsia" w:ascii="微软雅黑" w:hAnsi="微软雅黑" w:eastAsia="微软雅黑" w:cs="微软雅黑"/>
          <w:highlight w:val="none"/>
          <w:lang w:val="en-US" w:eastAsia="zh-CN"/>
        </w:rPr>
      </w:pPr>
      <w:r>
        <w:rPr>
          <w:rFonts w:hint="eastAsia" w:ascii="微软雅黑" w:hAnsi="微软雅黑" w:eastAsia="微软雅黑" w:cs="微软雅黑"/>
          <w:lang w:val="en-US" w:eastAsia="zh-CN"/>
        </w:rPr>
        <w:t>2.交付时间：接到采购人通</w:t>
      </w:r>
      <w:r>
        <w:rPr>
          <w:rFonts w:hint="eastAsia" w:ascii="微软雅黑" w:hAnsi="微软雅黑" w:eastAsia="微软雅黑" w:cs="微软雅黑"/>
          <w:color w:val="auto"/>
          <w:highlight w:val="none"/>
          <w:lang w:val="en-US" w:eastAsia="zh-CN"/>
        </w:rPr>
        <w:t>知后</w:t>
      </w:r>
      <w:r>
        <w:rPr>
          <w:rFonts w:hint="eastAsia" w:ascii="微软雅黑" w:hAnsi="微软雅黑" w:eastAsia="微软雅黑" w:cs="微软雅黑"/>
          <w:color w:val="auto"/>
          <w:highlight w:val="none"/>
          <w:u w:val="single"/>
          <w:lang w:val="en-US" w:eastAsia="zh-CN"/>
        </w:rPr>
        <w:t xml:space="preserve"> 30 </w:t>
      </w:r>
      <w:r>
        <w:rPr>
          <w:rFonts w:hint="eastAsia" w:ascii="微软雅黑" w:hAnsi="微软雅黑" w:eastAsia="微软雅黑" w:cs="微软雅黑"/>
          <w:color w:val="auto"/>
          <w:highlight w:val="none"/>
          <w:lang w:val="en-US" w:eastAsia="zh-CN"/>
        </w:rPr>
        <w:t>日内完成</w:t>
      </w:r>
      <w:r>
        <w:rPr>
          <w:rFonts w:hint="eastAsia" w:ascii="微软雅黑" w:hAnsi="微软雅黑" w:eastAsia="微软雅黑" w:cs="微软雅黑"/>
          <w:highlight w:val="none"/>
          <w:lang w:val="en-US" w:eastAsia="zh-CN"/>
        </w:rPr>
        <w:t>供货。</w:t>
      </w:r>
    </w:p>
    <w:p w14:paraId="3F104BC1">
      <w:pPr>
        <w:bidi w:val="0"/>
        <w:rPr>
          <w:rFonts w:hint="eastAsia" w:ascii="微软雅黑" w:hAnsi="微软雅黑" w:eastAsia="微软雅黑" w:cs="微软雅黑"/>
          <w:lang w:val="en-US" w:eastAsia="zh-CN"/>
        </w:rPr>
      </w:pPr>
      <w:r>
        <w:rPr>
          <w:rFonts w:hint="eastAsia" w:ascii="微软雅黑" w:hAnsi="微软雅黑" w:eastAsia="微软雅黑" w:cs="微软雅黑"/>
          <w:highlight w:val="none"/>
          <w:lang w:val="en-US" w:eastAsia="zh-CN"/>
        </w:rPr>
        <w:t>3.成交供应商逾期交货，则每逾期一天</w:t>
      </w:r>
      <w:r>
        <w:rPr>
          <w:rFonts w:hint="eastAsia" w:ascii="微软雅黑" w:hAnsi="微软雅黑" w:eastAsia="微软雅黑" w:cs="微软雅黑"/>
          <w:lang w:val="en-US" w:eastAsia="zh-CN"/>
        </w:rPr>
        <w:t>按合同总价的5‰支付违约金给采购人。如超过合同规定交货期限5天成交供应商仍不能交货完毕，则视为成交供应商不能交货，按合同总价10%支付违约金给采购人。</w:t>
      </w:r>
    </w:p>
    <w:p w14:paraId="2FC6BB22">
      <w:pPr>
        <w:numPr>
          <w:ilvl w:val="0"/>
          <w:numId w:val="0"/>
        </w:numPr>
        <w:tabs>
          <w:tab w:val="left" w:pos="1738"/>
        </w:tabs>
        <w:adjustRightInd w:val="0"/>
        <w:snapToGrid w:val="0"/>
        <w:spacing w:line="336" w:lineRule="auto"/>
        <w:ind w:right="173"/>
        <w:jc w:val="left"/>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（三）服务期限：</w:t>
      </w:r>
    </w:p>
    <w:p w14:paraId="767103B3">
      <w:pPr>
        <w:numPr>
          <w:ilvl w:val="0"/>
          <w:numId w:val="0"/>
        </w:numPr>
        <w:tabs>
          <w:tab w:val="left" w:pos="1738"/>
        </w:tabs>
        <w:bidi w:val="0"/>
        <w:adjustRightInd w:val="0"/>
        <w:snapToGrid w:val="0"/>
        <w:spacing w:line="336" w:lineRule="auto"/>
        <w:ind w:right="173"/>
        <w:rPr>
          <w:rFonts w:hint="default" w:ascii="微软雅黑" w:hAnsi="微软雅黑" w:eastAsia="微软雅黑" w:cs="微软雅黑"/>
          <w:b/>
          <w:bCs/>
          <w:lang w:val="en-US" w:eastAsia="zh-CN"/>
        </w:rPr>
      </w:pPr>
      <w:r>
        <w:rPr>
          <w:rFonts w:hint="eastAsia" w:ascii="微软雅黑" w:hAnsi="微软雅黑" w:eastAsia="微软雅黑" w:cs="微软雅黑"/>
          <w:b w:val="0"/>
          <w:bCs w:val="0"/>
          <w:lang w:val="en-US" w:eastAsia="zh-CN"/>
        </w:rPr>
        <w:t>自合同签订之日起一年。</w:t>
      </w:r>
      <w:r>
        <w:rPr>
          <w:rFonts w:hint="eastAsia" w:ascii="微软雅黑" w:hAnsi="微软雅黑" w:eastAsia="微软雅黑" w:cs="微软雅黑"/>
          <w:b w:val="0"/>
          <w:bCs w:val="0"/>
          <w:sz w:val="24"/>
          <w:szCs w:val="24"/>
          <w:lang w:val="en-US" w:eastAsia="zh-CN"/>
        </w:rPr>
        <w:t>当合同期结束或者项目结算金额累计达到采购预算金额15000元时，合同自动终止</w:t>
      </w:r>
      <w:r>
        <w:rPr>
          <w:rFonts w:hint="eastAsia" w:ascii="微软雅黑" w:hAnsi="微软雅黑" w:eastAsia="微软雅黑" w:cs="微软雅黑"/>
          <w:b w:val="0"/>
          <w:bCs w:val="0"/>
          <w:color w:val="auto"/>
          <w:sz w:val="24"/>
          <w:szCs w:val="24"/>
          <w:lang w:val="en-US" w:eastAsia="zh-CN"/>
        </w:rPr>
        <w:t>。</w:t>
      </w:r>
    </w:p>
    <w:p w14:paraId="0A8AC435">
      <w:pPr>
        <w:bidi w:val="0"/>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（四）包装及运输</w:t>
      </w:r>
    </w:p>
    <w:p w14:paraId="44AA86BF">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1.成交供应商所供货物包装质量必须符合国家相关标准，包装必须与运输方式相适应，包装方式的确定及包装费用均由成交供应商负责；由于不适当的包装而造成货物在运输过程中有任何损坏、丢失由乙方负责。</w:t>
      </w:r>
    </w:p>
    <w:p w14:paraId="41DE5CEB">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2.包装应足以承受整个过程中的运输、转运、装卸、储存等，充分考虑到运输途中的各种情况（如暴露于恶劣气候等）和中山地区的气候特点，以及露天存放的需要。</w:t>
      </w:r>
    </w:p>
    <w:p w14:paraId="32FB9CB6">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3.由成交供应商直接派人将货物运送至采购人指定科室，将货物送到现场过程中的全部运输，包括装卸车、货物现场的搬运，由此产生的费用均由成交供应商承担。不接受成交供应商以物流或快递等形式发货，否则，采购人将不予签收和验收。</w:t>
      </w:r>
    </w:p>
    <w:p w14:paraId="38FDE908">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4.货物在现场的保管由成交供应商负责，直至项目验收完毕。</w:t>
      </w:r>
    </w:p>
    <w:p w14:paraId="464FF729">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5.如货物运输过程中因事故造成货物短缺、损坏，成交供应商应及时安排换货，以保证合同货物及时交付，换货的相关费用由成交供应商承担。</w:t>
      </w:r>
    </w:p>
    <w:p w14:paraId="68348A9F">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6.包装费、运费已包含在合同价内。</w:t>
      </w:r>
    </w:p>
    <w:p w14:paraId="66F6D57F">
      <w:pPr>
        <w:bidi w:val="0"/>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（五）质保期及售后服务要求</w:t>
      </w:r>
    </w:p>
    <w:p w14:paraId="50510F1B">
      <w:pPr>
        <w:bidi w:val="0"/>
        <w:rPr>
          <w:rFonts w:hint="eastAsia" w:ascii="微软雅黑" w:hAnsi="微软雅黑" w:eastAsia="微软雅黑" w:cs="微软雅黑"/>
          <w:highlight w:val="none"/>
          <w:lang w:val="en-US" w:eastAsia="zh-CN"/>
        </w:rPr>
      </w:pPr>
      <w:r>
        <w:rPr>
          <w:rFonts w:hint="eastAsia" w:ascii="微软雅黑" w:hAnsi="微软雅黑" w:eastAsia="微软雅黑" w:cs="微软雅黑"/>
          <w:lang w:val="en-US" w:eastAsia="zh-CN"/>
        </w:rPr>
        <w:t>1.质量保</w:t>
      </w:r>
      <w:r>
        <w:rPr>
          <w:rFonts w:hint="eastAsia" w:ascii="微软雅黑" w:hAnsi="微软雅黑" w:eastAsia="微软雅黑" w:cs="微软雅黑"/>
          <w:highlight w:val="none"/>
          <w:lang w:val="en-US" w:eastAsia="zh-CN"/>
        </w:rPr>
        <w:t>证</w:t>
      </w:r>
    </w:p>
    <w:p w14:paraId="5B6FCFE5">
      <w:pPr>
        <w:bidi w:val="0"/>
        <w:rPr>
          <w:rFonts w:hint="eastAsia" w:ascii="微软雅黑" w:hAnsi="微软雅黑" w:eastAsia="微软雅黑" w:cs="微软雅黑"/>
          <w:lang w:val="en-US" w:eastAsia="zh-CN"/>
        </w:rPr>
      </w:pPr>
      <w:r>
        <w:rPr>
          <w:rFonts w:hint="eastAsia" w:ascii="微软雅黑" w:hAnsi="微软雅黑" w:eastAsia="微软雅黑" w:cs="微软雅黑"/>
          <w:highlight w:val="none"/>
          <w:lang w:val="en-US" w:eastAsia="zh-CN"/>
        </w:rPr>
        <w:t>1.1成交供应商交付货品后三个月内，可</w:t>
      </w:r>
      <w:r>
        <w:rPr>
          <w:rFonts w:hint="eastAsia" w:ascii="微软雅黑" w:hAnsi="微软雅黑" w:eastAsia="微软雅黑" w:cs="微软雅黑"/>
          <w:lang w:val="en-US" w:eastAsia="zh-CN"/>
        </w:rPr>
        <w:t>为采购人提供服装改制服务（主要为对服装进行剪裁或调整，以确保最佳的穿着效果等）。</w:t>
      </w:r>
    </w:p>
    <w:p w14:paraId="2666854F">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2.售后服务</w:t>
      </w:r>
    </w:p>
    <w:p w14:paraId="31429D17">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2.1成交供应商所提供的货物是全新的，其质量、规格满足用户需求，且必须符合国家行业生产及经营标准，货真价实。各项技术指标完全符合国家有关质量检测、产品标准及质量标准,且无任何的侵权行为。</w:t>
      </w:r>
    </w:p>
    <w:p w14:paraId="7742EBE0">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2.2货物如不符合国家的有关质量标准、需求文件质量要求的，采购人有权要求成交供应商无条件免费退换货物，退换期限为5个工作日内，由此产生的一切费用均由成交供应商承担，并赔偿因此造成采购人的经济损失。</w:t>
      </w:r>
    </w:p>
    <w:p w14:paraId="2F5EA5BD">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2.3售后服务期：售后服务期为验收合格之日起三个月，售后服务期内中标供应商须提供“包退、包换、包修”的质量“三包”服务，售后服务期内因货物质量问题而引发的费用全部由中标供应商承担。</w:t>
      </w:r>
    </w:p>
    <w:p w14:paraId="4D4B72E4">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2.4售后服务期内，中标供应商提供24小时响应服务，响应时间为半小时，跟进人员到达现场时间为2小时。在壹年售后服务期内，提供修改，提供常用配件(纽扣等)；客户如有需要修改尺寸或增加数量时，2小时内可到达客服指定场所上门解决问题。</w:t>
      </w:r>
    </w:p>
    <w:p w14:paraId="4C1B1F04">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2.5中标供应商在质保期内提供有效的常用配件（纽扣等）包含在投标报价内。</w:t>
      </w:r>
    </w:p>
    <w:p w14:paraId="31599F10">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2.6在供货期内，如个别产品遇到停产情况的，成交供应商需提前15天书面告知采购人并经采购人同意后，提供等同于或优于原技术参数的产品供采购人使用，不得断供。</w:t>
      </w:r>
    </w:p>
    <w:p w14:paraId="32084268">
      <w:pPr>
        <w:bidi w:val="0"/>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（六）结算及付款方式</w:t>
      </w:r>
    </w:p>
    <w:p w14:paraId="2D3F539C">
      <w:pPr>
        <w:bidi w:val="0"/>
        <w:rPr>
          <w:rFonts w:hint="eastAsia" w:ascii="微软雅黑" w:hAnsi="微软雅黑" w:eastAsia="微软雅黑" w:cs="微软雅黑"/>
          <w:lang w:val="en-US" w:eastAsia="zh-CN"/>
        </w:rPr>
      </w:pPr>
      <w:r>
        <w:rPr>
          <w:rFonts w:hint="default" w:ascii="微软雅黑" w:hAnsi="微软雅黑" w:eastAsia="微软雅黑" w:cs="微软雅黑"/>
          <w:lang w:val="en-US" w:eastAsia="zh-CN"/>
        </w:rPr>
        <w:t>1</w:t>
      </w:r>
      <w:r>
        <w:rPr>
          <w:rFonts w:hint="eastAsia" w:ascii="微软雅黑" w:hAnsi="微软雅黑" w:eastAsia="微软雅黑" w:cs="微软雅黑"/>
          <w:lang w:val="en-US" w:eastAsia="zh-CN"/>
        </w:rPr>
        <w:t>.合同货物全部到采购人指定科室交付完成后申请验收，验收合格后成交供应商向采购人提交申请款项支付资料之后30个工作日内，采购人向成交供应商支付款项，结算公式=单价*实际数量。</w:t>
      </w:r>
    </w:p>
    <w:p w14:paraId="18687B07">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2.本合同款项以人民币通过银行转账方式结算，乙方凭以下资料申请款项支付：</w:t>
      </w:r>
    </w:p>
    <w:p w14:paraId="68F7480B">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①合同复印件；②送货单、验收报告；③乙方开具对应款项的正规全额发票和对应款项收据。</w:t>
      </w:r>
    </w:p>
    <w:p w14:paraId="3C8F84BA">
      <w:pPr>
        <w:bidi w:val="0"/>
      </w:pPr>
      <w:r>
        <w:rPr>
          <w:rFonts w:hint="eastAsia" w:ascii="微软雅黑" w:hAnsi="微软雅黑" w:eastAsia="微软雅黑" w:cs="微软雅黑"/>
          <w:highlight w:val="none"/>
          <w:lang w:val="en-US" w:eastAsia="zh-CN"/>
        </w:rPr>
        <w:t>3.因采购人使用资金需要经过财务审批程序，采购人在前款规定的付款时间为向财务部门提出办理支付申请手续的时间（不含账务部门、支付部门审核的时间），在规定时间内提出支付申请手续后即视为采购人已经按期支付。</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2CE8D">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78E1D75"/>
    <w:rsid w:val="09AE6AAA"/>
    <w:rsid w:val="09DA3784"/>
    <w:rsid w:val="108C1CE9"/>
    <w:rsid w:val="1EC341D8"/>
    <w:rsid w:val="1EE1113B"/>
    <w:rsid w:val="21DE4A5F"/>
    <w:rsid w:val="24607312"/>
    <w:rsid w:val="255A5A7C"/>
    <w:rsid w:val="29402741"/>
    <w:rsid w:val="30315EC2"/>
    <w:rsid w:val="33557238"/>
    <w:rsid w:val="38CF17D3"/>
    <w:rsid w:val="3DBF0FE8"/>
    <w:rsid w:val="4475215D"/>
    <w:rsid w:val="53074CEE"/>
    <w:rsid w:val="5AB36DD5"/>
    <w:rsid w:val="5D6A3ADB"/>
    <w:rsid w:val="6044285D"/>
    <w:rsid w:val="60DF1113"/>
    <w:rsid w:val="6158132F"/>
    <w:rsid w:val="62BE35D0"/>
    <w:rsid w:val="712F2B3D"/>
    <w:rsid w:val="71321BD9"/>
    <w:rsid w:val="7997384D"/>
    <w:rsid w:val="7A9146A4"/>
    <w:rsid w:val="7E725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link w:val="17"/>
    <w:semiHidden/>
    <w:unhideWhenUsed/>
    <w:qFormat/>
    <w:uiPriority w:val="0"/>
    <w:pPr>
      <w:keepNext/>
      <w:keepLines/>
      <w:spacing w:line="480" w:lineRule="auto"/>
      <w:jc w:val="center"/>
      <w:outlineLvl w:val="1"/>
    </w:pPr>
    <w:rPr>
      <w:rFonts w:ascii="Arial" w:hAnsi="Arial" w:eastAsia="宋体"/>
      <w:b/>
      <w:bCs/>
      <w:sz w:val="32"/>
      <w:szCs w:val="32"/>
    </w:rPr>
  </w:style>
  <w:style w:type="paragraph" w:styleId="5">
    <w:name w:val="heading 3"/>
    <w:basedOn w:val="1"/>
    <w:next w:val="1"/>
    <w:link w:val="18"/>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next w:val="1"/>
    <w:qFormat/>
    <w:uiPriority w:val="0"/>
    <w:pPr>
      <w:spacing w:after="120" w:afterLines="0" w:afterAutospacing="0"/>
    </w:pPr>
  </w:style>
  <w:style w:type="paragraph" w:styleId="8">
    <w:name w:val="Body Text Indent"/>
    <w:basedOn w:val="1"/>
    <w:next w:val="9"/>
    <w:qFormat/>
    <w:uiPriority w:val="99"/>
    <w:pPr>
      <w:spacing w:after="120"/>
      <w:ind w:left="420" w:leftChars="200"/>
    </w:pPr>
    <w:rPr>
      <w:rFonts w:cs="Times New Roman"/>
    </w:rPr>
  </w:style>
  <w:style w:type="paragraph" w:styleId="9">
    <w:name w:val="Body Text First Indent 2"/>
    <w:basedOn w:val="8"/>
    <w:next w:val="1"/>
    <w:qFormat/>
    <w:uiPriority w:val="0"/>
    <w:pPr>
      <w:spacing w:after="0"/>
      <w:ind w:left="824" w:leftChars="400" w:firstLine="420" w:firstLineChars="200"/>
    </w:pPr>
    <w:rPr>
      <w:rFonts w:ascii="宋体" w:hAnsi="宋体" w:cs="Times New Roman"/>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标题 2 Char"/>
    <w:link w:val="3"/>
    <w:qFormat/>
    <w:uiPriority w:val="0"/>
    <w:rPr>
      <w:rFonts w:ascii="Arial" w:hAnsi="Arial" w:eastAsia="宋体" w:cs="Times New Roman"/>
      <w:b/>
      <w:bCs/>
      <w:sz w:val="32"/>
      <w:szCs w:val="32"/>
    </w:rPr>
  </w:style>
  <w:style w:type="character" w:customStyle="1" w:styleId="18">
    <w:name w:val="标题 3 Char"/>
    <w:link w:val="5"/>
    <w:qFormat/>
    <w:uiPriority w:val="0"/>
    <w:rPr>
      <w:rFonts w:eastAsia="宋体"/>
      <w:b/>
      <w:sz w:val="28"/>
    </w:rPr>
  </w:style>
  <w:style w:type="paragraph" w:styleId="19">
    <w:name w:val="List Paragraph"/>
    <w:basedOn w:val="1"/>
    <w:autoRedefine/>
    <w:qFormat/>
    <w:uiPriority w:val="34"/>
    <w:pPr>
      <w:ind w:firstLine="420" w:firstLineChars="200"/>
    </w:pPr>
    <w:rPr>
      <w:rFonts w:eastAsia="黑体"/>
      <w:bCs/>
      <w:sz w:val="30"/>
      <w:szCs w:val="30"/>
    </w:rPr>
  </w:style>
  <w:style w:type="character" w:customStyle="1" w:styleId="20">
    <w:name w:val="font51"/>
    <w:basedOn w:val="15"/>
    <w:qFormat/>
    <w:uiPriority w:val="0"/>
    <w:rPr>
      <w:rFonts w:hint="eastAsia" w:ascii="宋体" w:hAnsi="宋体" w:eastAsia="宋体" w:cs="宋体"/>
      <w:color w:val="000000"/>
      <w:sz w:val="24"/>
      <w:szCs w:val="24"/>
      <w:u w:val="none"/>
    </w:rPr>
  </w:style>
  <w:style w:type="character" w:customStyle="1" w:styleId="21">
    <w:name w:val="font61"/>
    <w:basedOn w:val="15"/>
    <w:qFormat/>
    <w:uiPriority w:val="0"/>
    <w:rPr>
      <w:rFonts w:hint="eastAsia" w:ascii="宋体" w:hAnsi="宋体" w:eastAsia="宋体" w:cs="宋体"/>
      <w:color w:val="000000"/>
      <w:sz w:val="24"/>
      <w:szCs w:val="24"/>
      <w:u w:val="none"/>
    </w:rPr>
  </w:style>
  <w:style w:type="character" w:customStyle="1" w:styleId="22">
    <w:name w:val="font41"/>
    <w:basedOn w:val="15"/>
    <w:qFormat/>
    <w:uiPriority w:val="0"/>
    <w:rPr>
      <w:rFonts w:hint="eastAsia" w:ascii="宋体" w:hAnsi="宋体" w:eastAsia="宋体" w:cs="宋体"/>
      <w:b/>
      <w:bCs/>
      <w:color w:val="000000"/>
      <w:sz w:val="24"/>
      <w:szCs w:val="24"/>
      <w:u w:val="none"/>
    </w:rPr>
  </w:style>
  <w:style w:type="paragraph" w:customStyle="1" w:styleId="23">
    <w:name w:val="List Paragraph1"/>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2059</Words>
  <Characters>2114</Characters>
  <Lines>0</Lines>
  <Paragraphs>0</Paragraphs>
  <TotalTime>1</TotalTime>
  <ScaleCrop>false</ScaleCrop>
  <LinksUpToDate>false</LinksUpToDate>
  <CharactersWithSpaces>2116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chis</cp:lastModifiedBy>
  <dcterms:modified xsi:type="dcterms:W3CDTF">2026-09-10T06:21:35Z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06D5DCF45AAA4AD081CCF773817EF9F5_13</vt:lpwstr>
  </property>
  <property fmtid="{D5CDD505-2E9C-101B-9397-08002B2CF9AE}" pid="4" name="KSOTemplateDocerSaveRecord">
    <vt:lpwstr>eyJoZGlkIjoiN2M1YWNmZTFiMDBlYjdkNDJjOTA0ZjFkNDA2N2FmZWUiLCJ1c2VySWQiOiI2NDkzNjEyODAifQ==</vt:lpwstr>
  </property>
</Properties>
</file>