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rPr>
      </w:pPr>
      <w:r>
        <w:rPr>
          <w:rFonts w:hint="eastAsia" w:ascii="仿宋_GB2312" w:hAnsi="仿宋_GB2312" w:eastAsia="仿宋_GB2312" w:cs="仿宋_GB2312"/>
          <w:i w:val="0"/>
          <w:iCs w:val="0"/>
          <w:caps w:val="0"/>
          <w:color w:val="2B2B2B"/>
          <w:spacing w:val="0"/>
          <w:sz w:val="28"/>
          <w:szCs w:val="28"/>
          <w:shd w:val="clear" w:fill="FFFFFF"/>
        </w:rPr>
        <w:t>附件</w:t>
      </w:r>
      <w:r>
        <w:rPr>
          <w:rFonts w:hint="default" w:ascii="Times New Roman" w:hAnsi="Times New Roman" w:eastAsia="仿宋_GB2312" w:cs="Times New Roman"/>
          <w:i w:val="0"/>
          <w:iCs w:val="0"/>
          <w:caps w:val="0"/>
          <w:color w:val="2B2B2B"/>
          <w:spacing w:val="0"/>
          <w:sz w:val="28"/>
          <w:szCs w:val="28"/>
          <w:shd w:val="clear" w:fill="FFFFFF"/>
        </w:rPr>
        <w:t>1</w:t>
      </w:r>
    </w:p>
    <w:p w14:paraId="5A2AB87B">
      <w:pPr>
        <w:spacing w:line="480" w:lineRule="exact"/>
        <w:jc w:val="center"/>
        <w:rPr>
          <w:rFonts w:hint="eastAsia" w:ascii="微软雅黑" w:hAnsi="微软雅黑" w:eastAsia="微软雅黑" w:cs="微软雅黑"/>
          <w:b/>
          <w:color w:val="auto"/>
          <w:sz w:val="28"/>
          <w:szCs w:val="28"/>
          <w:lang w:val="en-US" w:eastAsia="zh-CN"/>
        </w:rPr>
      </w:pPr>
      <w:r>
        <w:rPr>
          <w:rFonts w:hint="eastAsia" w:ascii="黑体" w:hAnsi="黑体" w:eastAsia="黑体" w:cs="黑体"/>
          <w:b w:val="0"/>
          <w:bCs/>
          <w:color w:val="auto"/>
          <w:sz w:val="28"/>
          <w:szCs w:val="28"/>
          <w:lang w:val="en-US" w:eastAsia="zh-CN"/>
        </w:rPr>
        <w:t>项目需求书</w:t>
      </w:r>
    </w:p>
    <w:p w14:paraId="275D203D">
      <w:pPr>
        <w:pStyle w:val="18"/>
        <w:widowControl/>
        <w:numPr>
          <w:ilvl w:val="0"/>
          <w:numId w:val="0"/>
        </w:numPr>
        <w:spacing w:line="360" w:lineRule="auto"/>
        <w:ind w:left="735" w:leftChars="189" w:hanging="281" w:hangingChars="100"/>
        <w:jc w:val="left"/>
        <w:rPr>
          <w:rFonts w:hint="eastAsia" w:ascii="仿宋_GB2312" w:hAnsi="仿宋_GB2312" w:eastAsia="仿宋_GB2312" w:cs="仿宋_GB2312"/>
          <w:b/>
          <w:bCs w:val="0"/>
          <w:color w:val="auto"/>
          <w:kern w:val="2"/>
          <w:sz w:val="28"/>
          <w:szCs w:val="28"/>
          <w:lang w:val="en-US" w:eastAsia="zh-CN" w:bidi="ar-SA"/>
        </w:rPr>
      </w:pPr>
      <w:r>
        <w:rPr>
          <w:rFonts w:hint="default" w:ascii="仿宋_GB2312" w:hAnsi="仿宋_GB2312" w:eastAsia="仿宋_GB2312" w:cs="仿宋_GB2312"/>
          <w:b/>
          <w:bCs w:val="0"/>
          <w:color w:val="auto"/>
          <w:kern w:val="2"/>
          <w:sz w:val="28"/>
          <w:szCs w:val="28"/>
          <w:lang w:val="en-US" w:eastAsia="zh-CN" w:bidi="ar-SA"/>
        </w:rPr>
        <w:t>一、</w:t>
      </w:r>
      <w:r>
        <w:rPr>
          <w:rFonts w:hint="eastAsia" w:ascii="仿宋_GB2312" w:hAnsi="仿宋_GB2312" w:eastAsia="仿宋_GB2312" w:cs="仿宋_GB2312"/>
          <w:b/>
          <w:bCs w:val="0"/>
          <w:color w:val="auto"/>
          <w:kern w:val="2"/>
          <w:sz w:val="28"/>
          <w:szCs w:val="28"/>
          <w:lang w:val="en-US" w:eastAsia="zh-CN" w:bidi="ar-SA"/>
        </w:rPr>
        <w:t>项目基本情况</w:t>
      </w:r>
    </w:p>
    <w:tbl>
      <w:tblPr>
        <w:tblStyle w:val="13"/>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6651"/>
      </w:tblGrid>
      <w:tr w14:paraId="0EF4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302" w:type="dxa"/>
          </w:tcPr>
          <w:p w14:paraId="7B293777">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651" w:type="dxa"/>
          </w:tcPr>
          <w:p w14:paraId="27596C2F">
            <w:pPr>
              <w:spacing w:line="360" w:lineRule="auto"/>
              <w:jc w:val="center"/>
              <w:rPr>
                <w:rFonts w:hint="default" w:ascii="仿宋_GB2312" w:hAnsi="仿宋_GB2312" w:eastAsia="仿宋_GB2312" w:cs="仿宋_GB2312"/>
                <w:sz w:val="28"/>
                <w:szCs w:val="28"/>
                <w:lang w:val="en-US" w:eastAsia="zh-CN"/>
              </w:rPr>
            </w:pPr>
            <w:r>
              <w:rPr>
                <w:rFonts w:hint="default" w:ascii="Times New Roman" w:hAnsi="Times New Roman" w:eastAsia="仿宋_GB2312" w:cs="Times New Roman"/>
                <w:sz w:val="28"/>
                <w:szCs w:val="28"/>
                <w:lang w:val="en-US" w:eastAsia="zh-CN"/>
              </w:rPr>
              <w:t>2026</w:t>
            </w:r>
            <w:r>
              <w:rPr>
                <w:rFonts w:hint="eastAsia" w:ascii="仿宋_GB2312" w:hAnsi="仿宋_GB2312" w:eastAsia="仿宋_GB2312" w:cs="仿宋_GB2312"/>
                <w:sz w:val="28"/>
                <w:szCs w:val="28"/>
                <w:lang w:val="en-US" w:eastAsia="zh-CN"/>
              </w:rPr>
              <w:t>年中山市口腔医院员工团体意外保险服务</w:t>
            </w:r>
          </w:p>
        </w:tc>
      </w:tr>
      <w:tr w14:paraId="617D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302" w:type="dxa"/>
          </w:tcPr>
          <w:p w14:paraId="313807C6">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采购预算金额</w:t>
            </w:r>
          </w:p>
        </w:tc>
        <w:tc>
          <w:tcPr>
            <w:tcW w:w="6651" w:type="dxa"/>
          </w:tcPr>
          <w:p w14:paraId="5034383F">
            <w:pPr>
              <w:spacing w:line="360" w:lineRule="auto"/>
              <w:jc w:val="center"/>
              <w:rPr>
                <w:rFonts w:hint="default" w:ascii="仿宋_GB2312" w:hAnsi="仿宋_GB2312" w:eastAsia="仿宋_GB2312" w:cs="仿宋_GB2312"/>
                <w:sz w:val="28"/>
                <w:szCs w:val="28"/>
                <w:lang w:val="en-US" w:eastAsia="zh-CN"/>
              </w:rPr>
            </w:pPr>
            <w:r>
              <w:rPr>
                <w:rFonts w:hint="eastAsia" w:ascii="Times New Roman" w:hAnsi="Times New Roman" w:eastAsia="仿宋_GB2312" w:cs="Times New Roman"/>
                <w:sz w:val="28"/>
                <w:szCs w:val="28"/>
                <w:lang w:val="en-US" w:eastAsia="zh-CN"/>
              </w:rPr>
              <w:t>28700</w:t>
            </w:r>
            <w:r>
              <w:rPr>
                <w:rFonts w:hint="eastAsia" w:ascii="仿宋_GB2312" w:hAnsi="仿宋_GB2312" w:eastAsia="仿宋_GB2312" w:cs="仿宋_GB2312"/>
                <w:sz w:val="28"/>
                <w:szCs w:val="28"/>
                <w:lang w:val="en-US" w:eastAsia="zh-CN"/>
              </w:rPr>
              <w:t>元</w:t>
            </w:r>
          </w:p>
        </w:tc>
      </w:tr>
      <w:tr w14:paraId="4415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302" w:type="dxa"/>
          </w:tcPr>
          <w:p w14:paraId="41CF4E70">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报价最高限价</w:t>
            </w:r>
          </w:p>
        </w:tc>
        <w:tc>
          <w:tcPr>
            <w:tcW w:w="6651" w:type="dxa"/>
          </w:tcPr>
          <w:p w14:paraId="25359EEA">
            <w:pPr>
              <w:spacing w:line="360" w:lineRule="auto"/>
              <w:jc w:val="center"/>
              <w:rPr>
                <w:rFonts w:hint="eastAsia" w:ascii="仿宋_GB2312" w:hAnsi="仿宋_GB2312" w:eastAsia="仿宋_GB2312" w:cs="仿宋_GB2312"/>
                <w:sz w:val="28"/>
                <w:szCs w:val="28"/>
                <w:lang w:val="en-US" w:eastAsia="zh-CN"/>
              </w:rPr>
            </w:pPr>
            <w:r>
              <w:rPr>
                <w:rFonts w:hint="eastAsia" w:ascii="Times New Roman" w:hAnsi="Times New Roman" w:eastAsia="仿宋_GB2312" w:cs="Times New Roman"/>
                <w:sz w:val="28"/>
                <w:szCs w:val="28"/>
                <w:lang w:val="en-US" w:eastAsia="zh-CN"/>
              </w:rPr>
              <w:t>98</w:t>
            </w:r>
            <w:r>
              <w:rPr>
                <w:rFonts w:hint="eastAsia" w:ascii="仿宋_GB2312" w:hAnsi="仿宋_GB2312" w:eastAsia="仿宋_GB2312" w:cs="仿宋_GB2312"/>
                <w:sz w:val="28"/>
                <w:szCs w:val="28"/>
                <w:lang w:val="en-US" w:eastAsia="zh-CN"/>
              </w:rPr>
              <w:t>元/人/年（保费最高限价）</w:t>
            </w:r>
          </w:p>
        </w:tc>
      </w:tr>
      <w:tr w14:paraId="21E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53" w:type="dxa"/>
            <w:gridSpan w:val="2"/>
          </w:tcPr>
          <w:p w14:paraId="7B24291C">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FF0000"/>
                <w:sz w:val="28"/>
                <w:szCs w:val="28"/>
                <w:lang w:val="en-US" w:eastAsia="zh-CN"/>
              </w:rPr>
              <w:t>供应商报价不得超过“报价最高限价”，否则视为无效报价。</w:t>
            </w:r>
          </w:p>
        </w:tc>
      </w:tr>
    </w:tbl>
    <w:p w14:paraId="2A81CF6C">
      <w:pPr>
        <w:pStyle w:val="18"/>
        <w:widowControl/>
        <w:numPr>
          <w:ilvl w:val="0"/>
          <w:numId w:val="0"/>
        </w:numPr>
        <w:spacing w:line="360" w:lineRule="auto"/>
        <w:ind w:left="735" w:leftChars="189" w:hanging="281" w:hangingChars="100"/>
        <w:jc w:val="left"/>
        <w:rPr>
          <w:rFonts w:hint="eastAsia" w:ascii="仿宋_GB2312" w:hAnsi="仿宋_GB2312" w:eastAsia="仿宋_GB2312" w:cs="仿宋_GB2312"/>
          <w:b/>
          <w:bCs w:val="0"/>
          <w:color w:val="auto"/>
          <w:kern w:val="2"/>
          <w:sz w:val="28"/>
          <w:szCs w:val="28"/>
          <w:lang w:val="en-US" w:eastAsia="zh-CN" w:bidi="ar-SA"/>
        </w:rPr>
      </w:pPr>
      <w:r>
        <w:rPr>
          <w:rFonts w:hint="default" w:ascii="仿宋_GB2312" w:hAnsi="仿宋_GB2312" w:eastAsia="仿宋_GB2312" w:cs="仿宋_GB2312"/>
          <w:b/>
          <w:bCs w:val="0"/>
          <w:color w:val="auto"/>
          <w:kern w:val="2"/>
          <w:sz w:val="28"/>
          <w:szCs w:val="28"/>
          <w:lang w:val="en-US" w:eastAsia="zh-CN" w:bidi="ar-SA"/>
        </w:rPr>
        <w:t>二、</w:t>
      </w:r>
      <w:r>
        <w:rPr>
          <w:rFonts w:hint="eastAsia" w:ascii="仿宋_GB2312" w:hAnsi="仿宋_GB2312" w:eastAsia="仿宋_GB2312" w:cs="仿宋_GB2312"/>
          <w:b/>
          <w:bCs w:val="0"/>
          <w:color w:val="auto"/>
          <w:kern w:val="2"/>
          <w:sz w:val="28"/>
          <w:szCs w:val="28"/>
          <w:lang w:val="en-US" w:eastAsia="zh-CN" w:bidi="ar-SA"/>
        </w:rPr>
        <w:t>采购需求</w:t>
      </w:r>
    </w:p>
    <w:p w14:paraId="69CB632E">
      <w:pPr>
        <w:numPr>
          <w:ilvl w:val="0"/>
          <w:numId w:val="0"/>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（一）</w:t>
      </w:r>
      <w:r>
        <w:rPr>
          <w:rFonts w:hint="eastAsia" w:ascii="仿宋_GB2312" w:hAnsi="仿宋_GB2312" w:eastAsia="仿宋_GB2312" w:cs="仿宋_GB2312"/>
          <w:sz w:val="28"/>
          <w:szCs w:val="28"/>
        </w:rPr>
        <w:t>采购项目需实现的功能和目标：</w:t>
      </w:r>
    </w:p>
    <w:p w14:paraId="2F6074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为完善我院员工福利保障体系，切实保障员工人身安全，稳定人才队伍，促进医院可持续高质量发展。拟通过商业保险机制，为医院在岗员工提供团体意外保险服务，现有在岗员工约</w:t>
      </w:r>
      <w:r>
        <w:rPr>
          <w:rFonts w:hint="default" w:ascii="Times New Roman" w:hAnsi="Times New Roman" w:eastAsia="仿宋_GB2312" w:cs="Times New Roman"/>
          <w:sz w:val="28"/>
          <w:szCs w:val="28"/>
          <w:lang w:val="en-US" w:eastAsia="zh-CN"/>
        </w:rPr>
        <w:t>291</w:t>
      </w:r>
      <w:r>
        <w:rPr>
          <w:rFonts w:hint="eastAsia" w:ascii="仿宋_GB2312" w:hAnsi="仿宋_GB2312" w:eastAsia="仿宋_GB2312" w:cs="仿宋_GB2312"/>
          <w:sz w:val="28"/>
          <w:szCs w:val="28"/>
          <w:lang w:val="en-US" w:eastAsia="zh-CN"/>
        </w:rPr>
        <w:t>人，具体投保人数以实际在岗人数为准。保险内容应包括意外身故、意外伤残、意外医疗、意外住院和疾病身故等保障。</w:t>
      </w:r>
    </w:p>
    <w:p w14:paraId="615714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）采购标的汇总表</w:t>
      </w:r>
    </w:p>
    <w:tbl>
      <w:tblPr>
        <w:tblStyle w:val="12"/>
        <w:tblW w:w="9058"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4916"/>
        <w:gridCol w:w="1684"/>
        <w:gridCol w:w="1408"/>
      </w:tblGrid>
      <w:tr w14:paraId="746C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0" w:type="dxa"/>
            <w:shd w:val="clear" w:color="auto" w:fill="FFFFFF"/>
            <w:tcMar>
              <w:top w:w="0" w:type="dxa"/>
              <w:right w:w="0" w:type="dxa"/>
            </w:tcMar>
            <w:vAlign w:val="center"/>
          </w:tcPr>
          <w:p w14:paraId="26B972D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序号</w:t>
            </w:r>
          </w:p>
        </w:tc>
        <w:tc>
          <w:tcPr>
            <w:tcW w:w="4916" w:type="dxa"/>
            <w:shd w:val="clear" w:color="auto" w:fill="FFFFFF"/>
            <w:tcMar>
              <w:top w:w="0" w:type="dxa"/>
              <w:right w:w="0" w:type="dxa"/>
            </w:tcMar>
            <w:vAlign w:val="center"/>
          </w:tcPr>
          <w:p w14:paraId="0EA02EE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标的</w:t>
            </w:r>
            <w:r>
              <w:rPr>
                <w:rFonts w:hint="eastAsia" w:ascii="仿宋_GB2312" w:hAnsi="仿宋_GB2312" w:eastAsia="仿宋_GB2312" w:cs="仿宋_GB2312"/>
                <w:color w:val="000000" w:themeColor="text1"/>
                <w:kern w:val="0"/>
                <w:sz w:val="28"/>
                <w:szCs w:val="28"/>
                <w14:textFill>
                  <w14:solidFill>
                    <w14:schemeClr w14:val="tx1"/>
                  </w14:solidFill>
                </w14:textFill>
              </w:rPr>
              <w:t>名称</w:t>
            </w:r>
          </w:p>
        </w:tc>
        <w:tc>
          <w:tcPr>
            <w:tcW w:w="1684" w:type="dxa"/>
            <w:shd w:val="clear" w:color="auto" w:fill="FFFFFF"/>
            <w:tcMar>
              <w:top w:w="0" w:type="dxa"/>
              <w:right w:w="0" w:type="dxa"/>
            </w:tcMar>
            <w:vAlign w:val="center"/>
          </w:tcPr>
          <w:p w14:paraId="1C11DDE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计量单位</w:t>
            </w:r>
          </w:p>
        </w:tc>
        <w:tc>
          <w:tcPr>
            <w:tcW w:w="1408" w:type="dxa"/>
            <w:shd w:val="clear" w:color="auto" w:fill="FFFFFF"/>
            <w:tcMar>
              <w:top w:w="0" w:type="dxa"/>
              <w:right w:w="0" w:type="dxa"/>
            </w:tcMar>
            <w:vAlign w:val="center"/>
          </w:tcPr>
          <w:p w14:paraId="3E44F15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数量</w:t>
            </w:r>
          </w:p>
        </w:tc>
      </w:tr>
      <w:tr w14:paraId="74E7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50" w:type="dxa"/>
            <w:shd w:val="clear" w:color="auto" w:fill="FFFFFF"/>
            <w:tcMar>
              <w:top w:w="0" w:type="dxa"/>
              <w:right w:w="0" w:type="dxa"/>
            </w:tcMar>
            <w:vAlign w:val="center"/>
          </w:tcPr>
          <w:p w14:paraId="02E24AA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auto"/>
                <w:kern w:val="0"/>
                <w:sz w:val="28"/>
                <w:szCs w:val="28"/>
                <w:lang w:val="en-US" w:eastAsia="zh-CN"/>
              </w:rPr>
            </w:pPr>
            <w:permStart w:id="0" w:edGrp="everyone" w:colFirst="0" w:colLast="0"/>
            <w:permStart w:id="1" w:edGrp="everyone" w:colFirst="1" w:colLast="1"/>
            <w:permStart w:id="2" w:edGrp="everyone" w:colFirst="2" w:colLast="2"/>
            <w:permStart w:id="3" w:edGrp="everyone" w:colFirst="3" w:colLast="3"/>
            <w:r>
              <w:rPr>
                <w:rFonts w:hint="eastAsia" w:ascii="仿宋_GB2312" w:hAnsi="仿宋_GB2312" w:eastAsia="仿宋_GB2312" w:cs="仿宋_GB2312"/>
                <w:color w:val="auto"/>
                <w:kern w:val="0"/>
                <w:sz w:val="28"/>
                <w:szCs w:val="28"/>
                <w:lang w:val="en-US" w:eastAsia="zh-CN"/>
              </w:rPr>
              <w:t>1</w:t>
            </w:r>
          </w:p>
        </w:tc>
        <w:tc>
          <w:tcPr>
            <w:tcW w:w="4916" w:type="dxa"/>
            <w:shd w:val="clear" w:color="auto" w:fill="FFFFFF"/>
            <w:tcMar>
              <w:top w:w="0" w:type="dxa"/>
              <w:right w:w="0" w:type="dxa"/>
            </w:tcMar>
            <w:vAlign w:val="center"/>
          </w:tcPr>
          <w:p w14:paraId="48DBDD2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auto"/>
                <w:kern w:val="0"/>
                <w:sz w:val="28"/>
                <w:szCs w:val="28"/>
              </w:rPr>
            </w:pPr>
            <w:r>
              <w:rPr>
                <w:rFonts w:hint="default" w:ascii="Times New Roman" w:hAnsi="Times New Roman" w:eastAsia="仿宋_GB2312" w:cs="Times New Roman"/>
                <w:sz w:val="28"/>
                <w:szCs w:val="28"/>
                <w:lang w:val="en-US" w:eastAsia="zh-CN"/>
              </w:rPr>
              <w:t>2026</w:t>
            </w:r>
            <w:r>
              <w:rPr>
                <w:rFonts w:hint="eastAsia" w:ascii="仿宋_GB2312" w:hAnsi="仿宋_GB2312" w:eastAsia="仿宋_GB2312" w:cs="仿宋_GB2312"/>
                <w:sz w:val="28"/>
                <w:szCs w:val="28"/>
                <w:lang w:val="en-US" w:eastAsia="zh-CN"/>
              </w:rPr>
              <w:t>年中山市口腔医院员工团体意外保险服务</w:t>
            </w:r>
          </w:p>
        </w:tc>
        <w:tc>
          <w:tcPr>
            <w:tcW w:w="1684" w:type="dxa"/>
            <w:shd w:val="clear" w:color="auto" w:fill="FFFFFF"/>
            <w:tcMar>
              <w:top w:w="0" w:type="dxa"/>
              <w:right w:w="0" w:type="dxa"/>
            </w:tcMar>
            <w:vAlign w:val="center"/>
          </w:tcPr>
          <w:p w14:paraId="48F75AF3">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i/>
                <w:iCs/>
                <w:color w:val="FF0000"/>
                <w:sz w:val="28"/>
                <w:szCs w:val="28"/>
                <w:highlight w:val="yellow"/>
                <w:lang w:val="en-US" w:eastAsia="zh-CN"/>
              </w:rPr>
              <w:t>项</w:t>
            </w:r>
          </w:p>
        </w:tc>
        <w:tc>
          <w:tcPr>
            <w:tcW w:w="1408" w:type="dxa"/>
            <w:shd w:val="clear" w:color="auto" w:fill="FFFFFF"/>
            <w:tcMar>
              <w:top w:w="0" w:type="dxa"/>
              <w:right w:w="0" w:type="dxa"/>
            </w:tcMar>
            <w:vAlign w:val="center"/>
          </w:tcPr>
          <w:p w14:paraId="3A1EDB3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i/>
                <w:iCs/>
                <w:color w:val="FF0000"/>
                <w:sz w:val="28"/>
                <w:szCs w:val="28"/>
                <w:highlight w:val="yellow"/>
                <w:lang w:val="en-US" w:eastAsia="zh-CN"/>
              </w:rPr>
              <w:t>1</w:t>
            </w:r>
          </w:p>
        </w:tc>
      </w:tr>
      <w:permEnd w:id="0"/>
      <w:permEnd w:id="1"/>
      <w:permEnd w:id="2"/>
      <w:permEnd w:id="3"/>
      <w:tr w14:paraId="28D8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9058" w:type="dxa"/>
            <w:gridSpan w:val="4"/>
            <w:shd w:val="clear" w:color="auto" w:fill="FFFFFF"/>
            <w:tcMar>
              <w:top w:w="0" w:type="dxa"/>
              <w:right w:w="0" w:type="dxa"/>
            </w:tcMar>
            <w:vAlign w:val="center"/>
          </w:tcPr>
          <w:p w14:paraId="57B5D882">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default" w:ascii="仿宋_GB2312" w:hAnsi="仿宋_GB2312" w:eastAsia="仿宋_GB2312" w:cs="仿宋_GB2312"/>
                <w:color w:val="auto"/>
                <w:kern w:val="0"/>
                <w:sz w:val="28"/>
                <w:szCs w:val="28"/>
                <w:lang w:val="en-US"/>
              </w:rPr>
            </w:pPr>
            <w:r>
              <w:rPr>
                <w:rFonts w:hint="eastAsia" w:ascii="仿宋_GB2312" w:hAnsi="仿宋_GB2312" w:eastAsia="仿宋_GB2312" w:cs="仿宋_GB2312"/>
                <w:color w:val="auto"/>
                <w:kern w:val="0"/>
                <w:sz w:val="28"/>
                <w:szCs w:val="28"/>
                <w:lang w:val="en-US" w:eastAsia="zh-CN"/>
              </w:rPr>
              <w:t>报价要求：本项目采用单价报价。单价报价最高上限为</w:t>
            </w:r>
            <w:r>
              <w:rPr>
                <w:rFonts w:hint="default" w:ascii="Times New Roman" w:hAnsi="Times New Roman" w:eastAsia="仿宋_GB2312" w:cs="Times New Roman"/>
                <w:color w:val="auto"/>
                <w:kern w:val="0"/>
                <w:sz w:val="28"/>
                <w:szCs w:val="28"/>
                <w:lang w:val="en-US" w:eastAsia="zh-CN"/>
              </w:rPr>
              <w:t>98</w:t>
            </w:r>
            <w:r>
              <w:rPr>
                <w:rFonts w:hint="eastAsia" w:ascii="仿宋_GB2312" w:hAnsi="仿宋_GB2312" w:eastAsia="仿宋_GB2312" w:cs="仿宋_GB2312"/>
                <w:color w:val="auto"/>
                <w:kern w:val="0"/>
                <w:sz w:val="28"/>
                <w:szCs w:val="28"/>
                <w:lang w:val="en-US" w:eastAsia="zh-CN"/>
              </w:rPr>
              <w:t>元/人/年，供应商的单价报价不得高于“报价最高限价”，否则视为无效报价。报价包括</w:t>
            </w:r>
            <w:permStart w:id="4" w:edGrp="everyone"/>
            <w:r>
              <w:rPr>
                <w:rFonts w:hint="eastAsia" w:ascii="仿宋_GB2312" w:hAnsi="仿宋_GB2312" w:eastAsia="仿宋_GB2312" w:cs="仿宋_GB2312"/>
                <w:color w:val="auto"/>
                <w:kern w:val="0"/>
                <w:sz w:val="28"/>
                <w:szCs w:val="28"/>
                <w:lang w:val="en-US" w:eastAsia="zh-CN"/>
              </w:rPr>
              <w:t xml:space="preserve"> 本项目采购范围内的所有费用</w:t>
            </w:r>
            <w:r>
              <w:rPr>
                <w:rFonts w:hint="eastAsia" w:ascii="仿宋_GB2312" w:hAnsi="仿宋_GB2312" w:eastAsia="仿宋_GB2312" w:cs="仿宋_GB2312"/>
                <w:color w:val="0000FF"/>
                <w:kern w:val="0"/>
                <w:sz w:val="28"/>
                <w:szCs w:val="28"/>
                <w:lang w:val="en-US" w:eastAsia="zh-CN"/>
              </w:rPr>
              <w:t xml:space="preserve"> </w:t>
            </w:r>
            <w:permEnd w:id="4"/>
            <w:r>
              <w:rPr>
                <w:rFonts w:hint="eastAsia" w:ascii="仿宋_GB2312" w:hAnsi="仿宋_GB2312" w:eastAsia="仿宋_GB2312" w:cs="仿宋_GB2312"/>
                <w:color w:val="auto"/>
                <w:kern w:val="0"/>
                <w:sz w:val="28"/>
                <w:szCs w:val="28"/>
                <w:lang w:val="en-US" w:eastAsia="zh-CN"/>
              </w:rPr>
              <w:t>、应向中华人民共和国政府缴纳的增值税和其他税等全部税费，以及履行合同所需的费用、所有风险、责任等其他一切隐含及不可预见的费用</w:t>
            </w:r>
            <w:permStart w:id="5" w:edGrp="everyone"/>
            <w:r>
              <w:rPr>
                <w:rFonts w:hint="eastAsia" w:ascii="仿宋_GB2312" w:hAnsi="仿宋_GB2312" w:eastAsia="仿宋_GB2312" w:cs="仿宋_GB2312"/>
                <w:color w:val="auto"/>
                <w:kern w:val="0"/>
                <w:sz w:val="28"/>
                <w:szCs w:val="28"/>
                <w:lang w:val="en-US" w:eastAsia="zh-CN"/>
              </w:rPr>
              <w:t>。如果供应商在中标并签署合同后，在实施过程中出现任何遗漏，均由成交供应商免费提供，采购人将不再支付任何费用。</w:t>
            </w:r>
          </w:p>
        </w:tc>
      </w:tr>
      <w:permEnd w:id="5"/>
    </w:tbl>
    <w:p w14:paraId="27D1949A">
      <w:pPr>
        <w:spacing w:line="360" w:lineRule="auto"/>
        <w:rPr>
          <w:rFonts w:hint="eastAsia" w:ascii="仿宋_GB2312" w:hAnsi="仿宋_GB2312" w:eastAsia="仿宋_GB2312" w:cs="仿宋_GB2312"/>
          <w:sz w:val="28"/>
          <w:szCs w:val="28"/>
        </w:rPr>
        <w:sectPr>
          <w:headerReference r:id="rId5" w:type="default"/>
          <w:footerReference r:id="rId6" w:type="default"/>
          <w:pgSz w:w="11900" w:h="16840"/>
          <w:pgMar w:top="1440" w:right="1800" w:bottom="1440" w:left="1800" w:header="851" w:footer="992" w:gutter="0"/>
          <w:pgNumType w:fmt="decimal" w:start="1"/>
          <w:cols w:space="425" w:num="1"/>
          <w:docGrid w:type="lines" w:linePitch="312" w:charSpace="0"/>
        </w:sectPr>
      </w:pPr>
    </w:p>
    <w:p w14:paraId="31BC90D0">
      <w:pPr>
        <w:spacing w:line="360" w:lineRule="auto"/>
        <w:rPr>
          <w:rFonts w:hint="eastAsia" w:ascii="仿宋_GB2312" w:hAnsi="仿宋_GB2312" w:eastAsia="仿宋_GB2312" w:cs="仿宋_GB2312"/>
          <w:sz w:val="28"/>
          <w:szCs w:val="28"/>
          <w:lang w:eastAsia="zh-CN"/>
        </w:rPr>
      </w:pPr>
    </w:p>
    <w:p w14:paraId="6D966B24">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）技术要求与商务要求</w:t>
      </w:r>
    </w:p>
    <w:tbl>
      <w:tblPr>
        <w:tblStyle w:val="12"/>
        <w:tblW w:w="5200" w:type="pct"/>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7"/>
      </w:tblGrid>
      <w:tr w14:paraId="248C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2"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C6863DF">
            <w:pPr>
              <w:adjustRightInd w:val="0"/>
              <w:snapToGrid w:val="0"/>
              <w:ind w:right="120" w:rightChars="5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一、项目概况及服务内容</w:t>
            </w:r>
          </w:p>
          <w:p w14:paraId="069CF38A">
            <w:pPr>
              <w:adjustRightInd w:val="0"/>
              <w:snapToGrid w:val="0"/>
              <w:ind w:right="120" w:rightChars="50"/>
              <w:jc w:val="left"/>
              <w:rPr>
                <w:rFonts w:hint="eastAsia" w:ascii="仿宋_GB2312" w:hAnsi="仿宋_GB2312" w:eastAsia="仿宋_GB2312" w:cs="仿宋_GB2312"/>
                <w:sz w:val="28"/>
                <w:szCs w:val="28"/>
                <w:highlight w:val="none"/>
              </w:rPr>
            </w:pPr>
            <w:r>
              <w:rPr>
                <w:rFonts w:hint="eastAsia" w:ascii="Times New Roman" w:hAnsi="Times New Roman" w:eastAsia="仿宋_GB2312" w:cs="Times New Roman"/>
                <w:sz w:val="28"/>
                <w:szCs w:val="28"/>
                <w:highlight w:val="none"/>
                <w:lang w:val="en-US" w:eastAsia="zh-CN"/>
              </w:rPr>
              <w:t>1.</w:t>
            </w:r>
            <w:r>
              <w:rPr>
                <w:rFonts w:hint="eastAsia" w:ascii="仿宋_GB2312" w:hAnsi="仿宋_GB2312" w:eastAsia="仿宋_GB2312" w:cs="仿宋_GB2312"/>
                <w:sz w:val="28"/>
                <w:szCs w:val="28"/>
                <w:highlight w:val="none"/>
              </w:rPr>
              <w:t>保险对象：中山市口腔医院的全体在编在册人员（包括在编人员、合同工）</w:t>
            </w:r>
          </w:p>
          <w:p w14:paraId="1F4FB76E">
            <w:pPr>
              <w:adjustRightInd w:val="0"/>
              <w:snapToGrid w:val="0"/>
              <w:ind w:right="120" w:rightChars="50"/>
              <w:jc w:val="left"/>
              <w:rPr>
                <w:rFonts w:hint="eastAsia" w:ascii="仿宋_GB2312" w:hAnsi="仿宋_GB2312" w:eastAsia="仿宋_GB2312" w:cs="仿宋_GB2312"/>
                <w:sz w:val="28"/>
                <w:szCs w:val="28"/>
                <w:highlight w:val="none"/>
              </w:rPr>
            </w:pPr>
            <w:r>
              <w:rPr>
                <w:rFonts w:hint="eastAsia" w:ascii="Times New Roman" w:hAnsi="Times New Roman" w:eastAsia="仿宋_GB2312" w:cs="Times New Roman"/>
                <w:sz w:val="28"/>
                <w:szCs w:val="28"/>
                <w:highlight w:val="none"/>
                <w:lang w:val="en-US" w:eastAsia="zh-CN"/>
              </w:rPr>
              <w:t>2.</w:t>
            </w:r>
            <w:r>
              <w:rPr>
                <w:rFonts w:hint="eastAsia" w:ascii="仿宋_GB2312" w:hAnsi="仿宋_GB2312" w:eastAsia="仿宋_GB2312" w:cs="仿宋_GB2312"/>
                <w:sz w:val="28"/>
                <w:szCs w:val="28"/>
                <w:highlight w:val="none"/>
              </w:rPr>
              <w:t>参保人数：约</w:t>
            </w:r>
            <w:r>
              <w:rPr>
                <w:rFonts w:hint="default" w:ascii="Times New Roman" w:hAnsi="Times New Roman" w:eastAsia="仿宋_GB2312" w:cs="Times New Roman"/>
                <w:sz w:val="28"/>
                <w:szCs w:val="28"/>
                <w:highlight w:val="none"/>
                <w:lang w:val="en-US" w:eastAsia="zh-CN"/>
              </w:rPr>
              <w:t>291</w:t>
            </w:r>
            <w:r>
              <w:rPr>
                <w:rFonts w:hint="eastAsia" w:ascii="仿宋_GB2312" w:hAnsi="仿宋_GB2312" w:eastAsia="仿宋_GB2312" w:cs="仿宋_GB2312"/>
                <w:sz w:val="28"/>
                <w:szCs w:val="28"/>
                <w:highlight w:val="none"/>
              </w:rPr>
              <w:t>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lang w:val="en-US" w:eastAsia="zh-CN"/>
              </w:rPr>
              <w:t>具体投保人数以实际在岗人数为准，在约定合同之前，院方可对参保名单进行增加、减少、替换等变更。</w:t>
            </w:r>
          </w:p>
          <w:p w14:paraId="48A145F1">
            <w:pPr>
              <w:adjustRightInd w:val="0"/>
              <w:snapToGrid w:val="0"/>
              <w:ind w:right="120" w:rightChars="50"/>
              <w:jc w:val="left"/>
              <w:rPr>
                <w:rFonts w:hint="eastAsia" w:ascii="仿宋_GB2312" w:hAnsi="仿宋_GB2312" w:eastAsia="仿宋_GB2312" w:cs="仿宋_GB2312"/>
                <w:sz w:val="28"/>
                <w:szCs w:val="28"/>
                <w:highlight w:val="none"/>
              </w:rPr>
            </w:pPr>
            <w:r>
              <w:rPr>
                <w:rFonts w:hint="eastAsia" w:ascii="Times New Roman" w:hAnsi="Times New Roman" w:eastAsia="仿宋_GB2312" w:cs="Times New Roman"/>
                <w:sz w:val="28"/>
                <w:szCs w:val="28"/>
                <w:highlight w:val="none"/>
                <w:lang w:val="en-US" w:eastAsia="zh-CN"/>
              </w:rPr>
              <w:t>3.</w:t>
            </w:r>
            <w:r>
              <w:rPr>
                <w:rFonts w:hint="eastAsia" w:ascii="仿宋_GB2312" w:hAnsi="仿宋_GB2312" w:eastAsia="仿宋_GB2312" w:cs="仿宋_GB2312"/>
                <w:sz w:val="28"/>
                <w:szCs w:val="28"/>
                <w:highlight w:val="none"/>
              </w:rPr>
              <w:t>★本项目报价为全包价，参与比选的</w:t>
            </w:r>
            <w:r>
              <w:rPr>
                <w:rFonts w:hint="eastAsia" w:ascii="仿宋_GB2312" w:hAnsi="仿宋_GB2312" w:eastAsia="仿宋_GB2312" w:cs="仿宋_GB2312"/>
                <w:sz w:val="28"/>
                <w:szCs w:val="28"/>
                <w:highlight w:val="none"/>
                <w:lang w:val="en-US" w:eastAsia="zh-CN"/>
              </w:rPr>
              <w:t>单位</w:t>
            </w:r>
            <w:r>
              <w:rPr>
                <w:rFonts w:hint="eastAsia" w:ascii="仿宋_GB2312" w:hAnsi="仿宋_GB2312" w:eastAsia="仿宋_GB2312" w:cs="仿宋_GB2312"/>
                <w:sz w:val="28"/>
                <w:szCs w:val="28"/>
                <w:highlight w:val="none"/>
              </w:rPr>
              <w:t>须提供详细保障</w:t>
            </w:r>
            <w:r>
              <w:rPr>
                <w:rFonts w:hint="eastAsia" w:ascii="仿宋_GB2312" w:hAnsi="仿宋_GB2312" w:eastAsia="仿宋_GB2312" w:cs="仿宋_GB2312"/>
                <w:sz w:val="28"/>
                <w:szCs w:val="28"/>
                <w:highlight w:val="none"/>
                <w:lang w:val="en-US" w:eastAsia="zh-CN"/>
              </w:rPr>
              <w:t>范围</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保险金额、赔付比例、</w:t>
            </w:r>
            <w:r>
              <w:rPr>
                <w:rFonts w:hint="eastAsia" w:ascii="仿宋_GB2312" w:hAnsi="仿宋_GB2312" w:eastAsia="仿宋_GB2312" w:cs="仿宋_GB2312"/>
                <w:sz w:val="28"/>
                <w:szCs w:val="28"/>
                <w:highlight w:val="none"/>
              </w:rPr>
              <w:t>理赔程序、</w:t>
            </w:r>
            <w:r>
              <w:rPr>
                <w:rFonts w:hint="eastAsia" w:ascii="仿宋_GB2312" w:hAnsi="仿宋_GB2312" w:eastAsia="仿宋_GB2312" w:cs="仿宋_GB2312"/>
                <w:sz w:val="28"/>
                <w:szCs w:val="28"/>
                <w:highlight w:val="none"/>
                <w:lang w:val="en-US" w:eastAsia="zh-CN"/>
              </w:rPr>
              <w:t>理赔服务</w:t>
            </w:r>
            <w:r>
              <w:rPr>
                <w:rFonts w:hint="eastAsia" w:ascii="仿宋_GB2312" w:hAnsi="仿宋_GB2312" w:eastAsia="仿宋_GB2312" w:cs="仿宋_GB2312"/>
                <w:sz w:val="28"/>
                <w:szCs w:val="28"/>
                <w:highlight w:val="none"/>
              </w:rPr>
              <w:t>等内容。</w:t>
            </w:r>
          </w:p>
          <w:p w14:paraId="6AD026D0">
            <w:pPr>
              <w:adjustRightInd w:val="0"/>
              <w:snapToGrid w:val="0"/>
              <w:ind w:right="120" w:rightChars="50"/>
              <w:jc w:val="left"/>
              <w:rPr>
                <w:rFonts w:hint="eastAsia" w:ascii="仿宋_GB2312" w:hAnsi="仿宋_GB2312" w:eastAsia="仿宋_GB2312" w:cs="仿宋_GB2312"/>
                <w:b/>
                <w:bCs/>
                <w:color w:val="auto"/>
                <w:sz w:val="28"/>
                <w:szCs w:val="28"/>
                <w:highlight w:val="none"/>
              </w:rPr>
            </w:pPr>
            <w:r>
              <w:rPr>
                <w:rFonts w:hint="eastAsia" w:ascii="Times New Roman" w:hAnsi="Times New Roman" w:eastAsia="仿宋_GB2312" w:cs="Times New Roman"/>
                <w:sz w:val="28"/>
                <w:szCs w:val="28"/>
                <w:highlight w:val="none"/>
                <w:lang w:val="en-US" w:eastAsia="zh-CN"/>
              </w:rPr>
              <w:t>4.</w:t>
            </w:r>
            <w:r>
              <w:rPr>
                <w:rFonts w:hint="eastAsia" w:ascii="仿宋_GB2312" w:hAnsi="仿宋_GB2312" w:eastAsia="仿宋_GB2312" w:cs="仿宋_GB2312"/>
                <w:sz w:val="28"/>
                <w:szCs w:val="28"/>
                <w:highlight w:val="none"/>
              </w:rPr>
              <w:t>★保险内容应包括</w:t>
            </w:r>
            <w:r>
              <w:rPr>
                <w:rFonts w:hint="eastAsia" w:ascii="仿宋_GB2312" w:hAnsi="仿宋_GB2312" w:eastAsia="仿宋_GB2312" w:cs="仿宋_GB2312"/>
                <w:sz w:val="28"/>
                <w:szCs w:val="28"/>
                <w:highlight w:val="none"/>
                <w:lang w:val="en-US" w:eastAsia="zh-CN"/>
              </w:rPr>
              <w:t>意外身故、意外伤残、意外医疗、意外住院和疾病身故等保障</w:t>
            </w:r>
            <w:r>
              <w:rPr>
                <w:rFonts w:hint="eastAsia" w:ascii="仿宋_GB2312" w:hAnsi="仿宋_GB2312" w:eastAsia="仿宋_GB2312" w:cs="仿宋_GB2312"/>
                <w:sz w:val="28"/>
                <w:szCs w:val="28"/>
                <w:highlight w:val="none"/>
              </w:rPr>
              <w:t>。其中，意外身故保险金额不低于</w:t>
            </w:r>
            <w:r>
              <w:rPr>
                <w:rFonts w:hint="eastAsia" w:ascii="Times New Roman" w:hAnsi="Times New Roman" w:eastAsia="仿宋_GB2312" w:cs="Times New Roman"/>
                <w:sz w:val="28"/>
                <w:szCs w:val="28"/>
                <w:highlight w:val="none"/>
                <w:lang w:val="en-US" w:eastAsia="zh-CN"/>
              </w:rPr>
              <w:t>20</w:t>
            </w:r>
            <w:r>
              <w:rPr>
                <w:rFonts w:hint="eastAsia" w:ascii="仿宋_GB2312" w:hAnsi="仿宋_GB2312" w:eastAsia="仿宋_GB2312" w:cs="仿宋_GB2312"/>
                <w:sz w:val="28"/>
                <w:szCs w:val="28"/>
                <w:highlight w:val="none"/>
              </w:rPr>
              <w:t>万元；意外伤残保险金额不低于</w:t>
            </w:r>
            <w:r>
              <w:rPr>
                <w:rFonts w:hint="eastAsia" w:ascii="Times New Roman" w:hAnsi="Times New Roman" w:eastAsia="仿宋_GB2312" w:cs="Times New Roman"/>
                <w:sz w:val="28"/>
                <w:szCs w:val="28"/>
                <w:highlight w:val="none"/>
                <w:lang w:val="en-US" w:eastAsia="zh-CN"/>
              </w:rPr>
              <w:t>20</w:t>
            </w:r>
            <w:r>
              <w:rPr>
                <w:rFonts w:hint="eastAsia" w:ascii="仿宋_GB2312" w:hAnsi="仿宋_GB2312" w:eastAsia="仿宋_GB2312" w:cs="仿宋_GB2312"/>
                <w:sz w:val="28"/>
                <w:szCs w:val="28"/>
                <w:highlight w:val="none"/>
              </w:rPr>
              <w:t>万元；意外伤害医疗保险金额不低于</w:t>
            </w:r>
            <w:r>
              <w:rPr>
                <w:rFonts w:hint="eastAsia" w:ascii="Times New Roman" w:hAnsi="Times New Roman" w:eastAsia="仿宋_GB2312" w:cs="Times New Roman"/>
                <w:sz w:val="28"/>
                <w:szCs w:val="28"/>
                <w:highlight w:val="none"/>
                <w:lang w:val="en-US" w:eastAsia="zh-CN"/>
              </w:rPr>
              <w:t>2</w:t>
            </w:r>
            <w:r>
              <w:rPr>
                <w:rFonts w:hint="eastAsia" w:ascii="仿宋_GB2312" w:hAnsi="仿宋_GB2312" w:eastAsia="仿宋_GB2312" w:cs="仿宋_GB2312"/>
                <w:sz w:val="28"/>
                <w:szCs w:val="28"/>
                <w:highlight w:val="none"/>
              </w:rPr>
              <w:t>万元；意外住院津贴不低于</w:t>
            </w:r>
            <w:r>
              <w:rPr>
                <w:rFonts w:hint="eastAsia" w:ascii="Times New Roman" w:hAnsi="Times New Roman" w:eastAsia="仿宋_GB2312" w:cs="Times New Roman"/>
                <w:sz w:val="28"/>
                <w:szCs w:val="28"/>
                <w:highlight w:val="none"/>
                <w:lang w:val="en-US" w:eastAsia="zh-CN"/>
              </w:rPr>
              <w:t>100</w:t>
            </w:r>
            <w:r>
              <w:rPr>
                <w:rFonts w:hint="eastAsia" w:ascii="仿宋_GB2312" w:hAnsi="仿宋_GB2312" w:eastAsia="仿宋_GB2312" w:cs="仿宋_GB2312"/>
                <w:sz w:val="28"/>
                <w:szCs w:val="28"/>
                <w:highlight w:val="none"/>
              </w:rPr>
              <w:t>元/天</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疾病身故保险金额不低于</w:t>
            </w:r>
            <w:r>
              <w:rPr>
                <w:rFonts w:hint="eastAsia" w:eastAsia="仿宋_GB2312" w:cs="Times New Roman"/>
                <w:sz w:val="28"/>
                <w:szCs w:val="28"/>
                <w:highlight w:val="none"/>
                <w:lang w:val="en-US" w:eastAsia="zh-CN"/>
              </w:rPr>
              <w:t>2</w:t>
            </w:r>
            <w:r>
              <w:rPr>
                <w:rFonts w:hint="eastAsia" w:ascii="仿宋_GB2312" w:hAnsi="仿宋_GB2312" w:eastAsia="仿宋_GB2312" w:cs="仿宋_GB2312"/>
                <w:sz w:val="28"/>
                <w:szCs w:val="28"/>
                <w:highlight w:val="none"/>
              </w:rPr>
              <w:t>万元。</w:t>
            </w:r>
          </w:p>
          <w:p w14:paraId="1EF38FF5">
            <w:pPr>
              <w:adjustRightInd w:val="0"/>
              <w:snapToGrid w:val="0"/>
              <w:ind w:right="120" w:rightChars="50"/>
              <w:jc w:val="left"/>
              <w:rPr>
                <w:rFonts w:hint="eastAsia" w:ascii="仿宋_GB2312" w:hAnsi="仿宋_GB2312" w:eastAsia="仿宋_GB2312" w:cs="仿宋_GB2312"/>
                <w:sz w:val="28"/>
                <w:szCs w:val="28"/>
                <w:highlight w:val="none"/>
              </w:rPr>
            </w:pPr>
            <w:r>
              <w:rPr>
                <w:rFonts w:hint="eastAsia" w:ascii="Times New Roman" w:hAnsi="Times New Roman" w:eastAsia="仿宋_GB2312" w:cs="Times New Roman"/>
                <w:sz w:val="28"/>
                <w:szCs w:val="28"/>
                <w:highlight w:val="none"/>
                <w:lang w:val="en-US" w:eastAsia="zh-CN"/>
              </w:rPr>
              <w:t>5.</w:t>
            </w:r>
            <w:r>
              <w:rPr>
                <w:rFonts w:hint="eastAsia" w:ascii="仿宋_GB2312" w:hAnsi="仿宋_GB2312" w:eastAsia="仿宋_GB2312" w:cs="仿宋_GB2312"/>
                <w:sz w:val="28"/>
                <w:szCs w:val="28"/>
                <w:highlight w:val="none"/>
              </w:rPr>
              <w:t>报价人不得相互串通投标，不得排挤其他报价人的公平竞争，损害采购人或者其他报价人的合法权益。</w:t>
            </w:r>
            <w:bookmarkStart w:id="0" w:name="_GoBack"/>
            <w:bookmarkEnd w:id="0"/>
          </w:p>
          <w:p w14:paraId="31DE85ED">
            <w:pPr>
              <w:adjustRightInd w:val="0"/>
              <w:snapToGrid w:val="0"/>
              <w:ind w:right="120" w:rightChars="50"/>
              <w:jc w:val="left"/>
              <w:rPr>
                <w:rFonts w:hint="eastAsia" w:ascii="仿宋_GB2312" w:hAnsi="仿宋_GB2312" w:eastAsia="仿宋_GB2312" w:cs="仿宋_GB2312"/>
                <w:sz w:val="28"/>
                <w:szCs w:val="28"/>
                <w:highlight w:val="none"/>
              </w:rPr>
            </w:pPr>
            <w:r>
              <w:rPr>
                <w:rFonts w:hint="eastAsia" w:ascii="Times New Roman" w:hAnsi="Times New Roman" w:eastAsia="仿宋_GB2312" w:cs="Times New Roman"/>
                <w:sz w:val="28"/>
                <w:szCs w:val="28"/>
                <w:highlight w:val="none"/>
                <w:lang w:val="en-US" w:eastAsia="zh-CN"/>
              </w:rPr>
              <w:t>6.</w:t>
            </w:r>
            <w:r>
              <w:rPr>
                <w:rFonts w:hint="eastAsia" w:ascii="仿宋_GB2312" w:hAnsi="仿宋_GB2312" w:eastAsia="仿宋_GB2312" w:cs="仿宋_GB2312"/>
                <w:sz w:val="28"/>
                <w:szCs w:val="28"/>
                <w:highlight w:val="none"/>
              </w:rPr>
              <w:t>报价人所有证件资料不得涂改/更改。凡提供虚假证明文件，需承担因此而产生的一切法律责任。</w:t>
            </w:r>
          </w:p>
          <w:p w14:paraId="4599611D">
            <w:pPr>
              <w:adjustRightInd w:val="0"/>
              <w:snapToGrid w:val="0"/>
              <w:ind w:right="120" w:rightChars="50"/>
              <w:jc w:val="left"/>
              <w:rPr>
                <w:rFonts w:hint="eastAsia" w:ascii="仿宋_GB2312" w:hAnsi="仿宋_GB2312" w:eastAsia="仿宋_GB2312" w:cs="仿宋_GB2312"/>
                <w:sz w:val="28"/>
                <w:szCs w:val="28"/>
                <w:highlight w:val="yellow"/>
              </w:rPr>
            </w:pPr>
            <w:r>
              <w:rPr>
                <w:rFonts w:hint="eastAsia" w:ascii="Times New Roman" w:hAnsi="Times New Roman" w:eastAsia="仿宋_GB2312" w:cs="Times New Roman"/>
                <w:sz w:val="28"/>
                <w:szCs w:val="28"/>
                <w:highlight w:val="none"/>
                <w:lang w:val="en-US" w:eastAsia="zh-CN"/>
              </w:rPr>
              <w:t>7.</w:t>
            </w:r>
            <w:r>
              <w:rPr>
                <w:rFonts w:hint="eastAsia" w:ascii="仿宋_GB2312" w:hAnsi="仿宋_GB2312" w:eastAsia="仿宋_GB2312" w:cs="仿宋_GB2312"/>
                <w:sz w:val="28"/>
                <w:szCs w:val="28"/>
                <w:highlight w:val="none"/>
              </w:rPr>
              <w:t>在合同期内，如发现成交供应商所提供的服务不符合本需求书要求或报价文件的承诺，采购人将视为违约。</w:t>
            </w:r>
          </w:p>
          <w:p w14:paraId="589039B9">
            <w:pPr>
              <w:adjustRightInd w:val="0"/>
              <w:snapToGrid w:val="0"/>
              <w:ind w:right="120" w:rightChars="50"/>
              <w:jc w:val="left"/>
              <w:rPr>
                <w:rFonts w:hint="eastAsia" w:ascii="仿宋_GB2312" w:hAnsi="仿宋_GB2312" w:eastAsia="仿宋_GB2312" w:cs="仿宋_GB2312"/>
                <w:sz w:val="28"/>
                <w:szCs w:val="28"/>
                <w:highlight w:val="yellow"/>
              </w:rPr>
            </w:pPr>
            <w:r>
              <w:rPr>
                <w:rFonts w:hint="eastAsia" w:ascii="Times New Roman" w:hAnsi="Times New Roman" w:eastAsia="仿宋_GB2312" w:cs="Times New Roman"/>
                <w:sz w:val="28"/>
                <w:szCs w:val="28"/>
                <w:highlight w:val="none"/>
                <w:lang w:val="en-US" w:eastAsia="zh-CN"/>
              </w:rPr>
              <w:t>8.</w:t>
            </w:r>
            <w:r>
              <w:rPr>
                <w:rFonts w:hint="eastAsia" w:ascii="仿宋_GB2312" w:hAnsi="仿宋_GB2312" w:eastAsia="仿宋_GB2312" w:cs="仿宋_GB2312"/>
                <w:sz w:val="28"/>
                <w:szCs w:val="28"/>
                <w:highlight w:val="none"/>
              </w:rPr>
              <w:t>报价人须对本项目进行整体响应，任何只对本项目其中一部分内容、数量进行的响应都被视为无效报价。</w:t>
            </w:r>
          </w:p>
          <w:p w14:paraId="012A8127">
            <w:pPr>
              <w:adjustRightInd w:val="0"/>
              <w:snapToGrid w:val="0"/>
              <w:ind w:right="120" w:rightChars="50"/>
              <w:jc w:val="left"/>
              <w:rPr>
                <w:rFonts w:hint="eastAsia" w:ascii="仿宋_GB2312" w:hAnsi="仿宋_GB2312" w:eastAsia="仿宋_GB2312" w:cs="仿宋_GB2312"/>
                <w:sz w:val="28"/>
                <w:szCs w:val="28"/>
                <w:highlight w:val="yellow"/>
              </w:rPr>
            </w:pPr>
            <w:r>
              <w:rPr>
                <w:rFonts w:hint="eastAsia" w:ascii="Times New Roman" w:hAnsi="Times New Roman" w:eastAsia="仿宋_GB2312" w:cs="Times New Roman"/>
                <w:sz w:val="28"/>
                <w:szCs w:val="28"/>
                <w:highlight w:val="none"/>
                <w:lang w:val="en-US" w:eastAsia="zh-CN"/>
              </w:rPr>
              <w:t>9.</w:t>
            </w:r>
            <w:r>
              <w:rPr>
                <w:rFonts w:hint="eastAsia" w:ascii="仿宋_GB2312" w:hAnsi="仿宋_GB2312" w:eastAsia="仿宋_GB2312" w:cs="仿宋_GB2312"/>
                <w:sz w:val="28"/>
                <w:szCs w:val="28"/>
                <w:highlight w:val="none"/>
              </w:rPr>
              <w:t>用户需求中标注“★”号条款为实质性条款，必须逐条进行响应，有任何一条负偏离或不响应的，将导致报价无效。</w:t>
            </w:r>
          </w:p>
          <w:p w14:paraId="7A522ADE">
            <w:pPr>
              <w:adjustRightInd w:val="0"/>
              <w:snapToGrid w:val="0"/>
              <w:ind w:right="120" w:rightChars="50"/>
              <w:jc w:val="left"/>
              <w:rPr>
                <w:rFonts w:hint="eastAsia" w:ascii="仿宋_GB2312" w:hAnsi="仿宋_GB2312" w:eastAsia="仿宋_GB2312" w:cs="仿宋_GB2312"/>
                <w:sz w:val="28"/>
                <w:szCs w:val="28"/>
                <w:lang w:val="en-US" w:eastAsia="zh-CN"/>
              </w:rPr>
            </w:pPr>
            <w:r>
              <w:rPr>
                <w:rFonts w:hint="eastAsia" w:ascii="Times New Roman" w:hAnsi="Times New Roman" w:eastAsia="仿宋_GB2312" w:cs="Times New Roman"/>
                <w:sz w:val="28"/>
                <w:szCs w:val="28"/>
                <w:highlight w:val="none"/>
                <w:lang w:val="en-US" w:eastAsia="zh-CN"/>
              </w:rPr>
              <w:t>10.</w:t>
            </w:r>
            <w:r>
              <w:rPr>
                <w:rFonts w:hint="eastAsia" w:ascii="仿宋_GB2312" w:hAnsi="仿宋_GB2312" w:eastAsia="仿宋_GB2312" w:cs="仿宋_GB2312"/>
                <w:sz w:val="28"/>
                <w:szCs w:val="28"/>
                <w:highlight w:val="none"/>
              </w:rPr>
              <w:t>成交供应商不得以任何方式转包或分包本项目。</w:t>
            </w:r>
          </w:p>
        </w:tc>
      </w:tr>
    </w:tbl>
    <w:p w14:paraId="46DAA7E5">
      <w:pPr>
        <w:adjustRightInd w:val="0"/>
        <w:snapToGrid w:val="0"/>
        <w:ind w:right="120" w:rightChars="50"/>
        <w:jc w:val="left"/>
        <w:rPr>
          <w:rFonts w:hint="eastAsia" w:ascii="仿宋_GB2312" w:hAnsi="仿宋_GB2312" w:eastAsia="仿宋_GB2312" w:cs="仿宋_GB2312"/>
          <w:b/>
          <w:bCs/>
          <w:sz w:val="28"/>
          <w:szCs w:val="28"/>
        </w:rPr>
        <w:sectPr>
          <w:headerReference r:id="rId7" w:type="default"/>
          <w:footerReference r:id="rId8" w:type="default"/>
          <w:type w:val="continuous"/>
          <w:pgSz w:w="11900" w:h="16840"/>
          <w:pgMar w:top="1440" w:right="1800" w:bottom="1440" w:left="1800" w:header="851" w:footer="992" w:gutter="0"/>
          <w:pgNumType w:fmt="decimal"/>
          <w:cols w:space="425" w:num="1"/>
          <w:docGrid w:type="lines" w:linePitch="312" w:charSpace="0"/>
        </w:sectPr>
      </w:pPr>
    </w:p>
    <w:tbl>
      <w:tblPr>
        <w:tblStyle w:val="12"/>
        <w:tblW w:w="5200" w:type="pct"/>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7"/>
      </w:tblGrid>
      <w:tr w14:paraId="7DD8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168ADE32">
            <w:pPr>
              <w:numPr>
                <w:ilvl w:val="0"/>
                <w:numId w:val="1"/>
              </w:numPr>
              <w:adjustRightInd w:val="0"/>
              <w:snapToGrid w:val="0"/>
              <w:ind w:right="120" w:rightChars="5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服务方案要求</w:t>
            </w:r>
          </w:p>
          <w:p w14:paraId="657AFE17">
            <w:pPr>
              <w:adjustRightInd w:val="0"/>
              <w:snapToGrid w:val="0"/>
              <w:jc w:val="left"/>
              <w:rPr>
                <w:rFonts w:hint="default" w:ascii="仿宋_GB2312" w:hAnsi="仿宋_GB2312" w:eastAsia="仿宋_GB2312" w:cs="仿宋_GB2312"/>
                <w:sz w:val="28"/>
                <w:szCs w:val="28"/>
                <w:highlight w:val="none"/>
                <w:lang w:val="en-US" w:eastAsia="zh-CN"/>
              </w:rPr>
            </w:pPr>
            <w:r>
              <w:rPr>
                <w:rFonts w:hint="default" w:ascii="Times New Roman" w:hAnsi="Times New Roman" w:eastAsia="仿宋_GB2312" w:cs="Times New Roman"/>
                <w:kern w:val="2"/>
                <w:sz w:val="28"/>
                <w:szCs w:val="28"/>
                <w:highlight w:val="none"/>
                <w:lang w:val="en-US" w:eastAsia="zh-CN" w:bidi="ar-SA"/>
              </w:rPr>
              <w:t>1.</w:t>
            </w:r>
            <w:r>
              <w:rPr>
                <w:rFonts w:hint="eastAsia" w:ascii="仿宋_GB2312" w:hAnsi="仿宋_GB2312" w:eastAsia="仿宋_GB2312" w:cs="仿宋_GB2312"/>
                <w:sz w:val="28"/>
                <w:szCs w:val="28"/>
                <w:highlight w:val="none"/>
                <w:lang w:val="en-US" w:eastAsia="zh-CN"/>
              </w:rPr>
              <w:t>承保服务：保险条款应清晰明确，包括保障范围、保险金额、保险期限、赔付比例、免赔额等关键信息。</w:t>
            </w:r>
          </w:p>
          <w:p w14:paraId="32905DAD">
            <w:pPr>
              <w:pStyle w:val="8"/>
              <w:ind w:left="0" w:leftChars="0" w:firstLine="0" w:firstLineChars="0"/>
              <w:rPr>
                <w:rFonts w:hint="default" w:ascii="仿宋_GB2312" w:hAnsi="仿宋_GB2312" w:eastAsia="仿宋_GB2312" w:cs="仿宋_GB2312"/>
                <w:sz w:val="28"/>
                <w:szCs w:val="28"/>
                <w:highlight w:val="none"/>
                <w:lang w:val="en-US" w:eastAsia="zh-CN"/>
              </w:rPr>
            </w:pPr>
            <w:r>
              <w:rPr>
                <w:rFonts w:hint="eastAsia" w:ascii="Times New Roman" w:hAnsi="Times New Roman" w:eastAsia="仿宋_GB2312" w:cs="Times New Roman"/>
                <w:kern w:val="2"/>
                <w:sz w:val="28"/>
                <w:szCs w:val="28"/>
                <w:highlight w:val="none"/>
                <w:lang w:val="en-US" w:eastAsia="zh-CN" w:bidi="ar-SA"/>
              </w:rPr>
              <w:t>2.</w:t>
            </w:r>
            <w:r>
              <w:rPr>
                <w:rFonts w:hint="eastAsia" w:ascii="仿宋_GB2312" w:hAnsi="仿宋_GB2312" w:eastAsia="仿宋_GB2312" w:cs="仿宋_GB2312"/>
                <w:sz w:val="28"/>
                <w:szCs w:val="28"/>
                <w:highlight w:val="none"/>
                <w:lang w:val="en-US" w:eastAsia="zh-CN"/>
              </w:rPr>
              <w:t>理赔服务：成交供应商须提供</w:t>
            </w:r>
            <w:r>
              <w:rPr>
                <w:rFonts w:hint="eastAsia" w:ascii="Times New Roman" w:hAnsi="Times New Roman" w:eastAsia="仿宋_GB2312" w:cs="Times New Roman"/>
                <w:kern w:val="2"/>
                <w:sz w:val="28"/>
                <w:szCs w:val="28"/>
                <w:highlight w:val="none"/>
                <w:lang w:val="en-US" w:eastAsia="zh-CN" w:bidi="ar-SA"/>
              </w:rPr>
              <w:t>7*24</w:t>
            </w:r>
            <w:r>
              <w:rPr>
                <w:rFonts w:hint="eastAsia" w:ascii="仿宋_GB2312" w:hAnsi="仿宋_GB2312" w:eastAsia="仿宋_GB2312" w:cs="仿宋_GB2312"/>
                <w:sz w:val="28"/>
                <w:szCs w:val="28"/>
                <w:highlight w:val="none"/>
                <w:lang w:val="en-US" w:eastAsia="zh-CN"/>
              </w:rPr>
              <w:t>小时的保险服务热线，随时接受被保险人的出险报案和咨询；成交供应商应提供便捷的理赔流程，对于申请人提交的证明及资料不完整的，应及时一次性通知申请人补充提供有关证明和资料。鼓励提供线上自主理赔服务，提升理赔速度和体验。</w:t>
            </w:r>
          </w:p>
          <w:p w14:paraId="51E3FC6B">
            <w:pPr>
              <w:pStyle w:val="8"/>
              <w:ind w:left="0" w:leftChars="0" w:firstLine="0" w:firstLineChars="0"/>
              <w:rPr>
                <w:rFonts w:hint="default" w:ascii="仿宋_GB2312" w:hAnsi="仿宋_GB2312" w:eastAsia="仿宋_GB2312" w:cs="仿宋_GB2312"/>
                <w:sz w:val="28"/>
                <w:szCs w:val="28"/>
                <w:highlight w:val="none"/>
                <w:lang w:val="en-US" w:eastAsia="zh-CN"/>
              </w:rPr>
            </w:pPr>
            <w:r>
              <w:rPr>
                <w:rFonts w:hint="eastAsia" w:ascii="Times New Roman" w:hAnsi="Times New Roman" w:eastAsia="仿宋_GB2312" w:cs="Times New Roman"/>
                <w:kern w:val="2"/>
                <w:sz w:val="28"/>
                <w:szCs w:val="28"/>
                <w:highlight w:val="none"/>
                <w:lang w:val="en-US" w:eastAsia="zh-CN" w:bidi="ar-SA"/>
              </w:rPr>
              <w:t>3.</w:t>
            </w:r>
            <w:r>
              <w:rPr>
                <w:rFonts w:hint="eastAsia" w:ascii="仿宋_GB2312" w:hAnsi="仿宋_GB2312" w:eastAsia="仿宋_GB2312" w:cs="仿宋_GB2312"/>
                <w:sz w:val="28"/>
                <w:szCs w:val="28"/>
                <w:highlight w:val="none"/>
                <w:lang w:val="en-US" w:eastAsia="zh-CN"/>
              </w:rPr>
              <w:t>服务团队：成交供应商指定专人负责本项目的对接与服务，并应建立完善的理赔服务流程和应急响应机制。</w:t>
            </w:r>
          </w:p>
          <w:p w14:paraId="61EF9164">
            <w:pPr>
              <w:pStyle w:val="8"/>
              <w:ind w:left="0" w:leftChars="0" w:firstLine="0" w:firstLineChars="0"/>
              <w:rPr>
                <w:rFonts w:hint="default"/>
                <w:lang w:val="en-US" w:eastAsia="zh-CN"/>
              </w:rPr>
            </w:pPr>
            <w:r>
              <w:rPr>
                <w:rFonts w:hint="eastAsia" w:ascii="Times New Roman" w:hAnsi="Times New Roman" w:eastAsia="仿宋_GB2312" w:cs="Times New Roman"/>
                <w:kern w:val="2"/>
                <w:sz w:val="28"/>
                <w:szCs w:val="28"/>
                <w:highlight w:val="none"/>
                <w:lang w:val="en-US" w:eastAsia="zh-CN" w:bidi="ar-SA"/>
              </w:rPr>
              <w:t>4.</w:t>
            </w:r>
            <w:r>
              <w:rPr>
                <w:rFonts w:hint="eastAsia" w:ascii="仿宋_GB2312" w:hAnsi="仿宋_GB2312" w:eastAsia="仿宋_GB2312" w:cs="仿宋_GB2312"/>
                <w:sz w:val="28"/>
                <w:szCs w:val="28"/>
                <w:highlight w:val="none"/>
                <w:lang w:val="en-US" w:eastAsia="zh-CN"/>
              </w:rPr>
              <w:t>服务响应：成交供应商应街道报案或服务需求后及时响应，响应时间不超过</w:t>
            </w:r>
            <w:r>
              <w:rPr>
                <w:rFonts w:hint="eastAsia" w:ascii="Times New Roman" w:hAnsi="Times New Roman" w:eastAsia="仿宋_GB2312" w:cs="Times New Roman"/>
                <w:kern w:val="2"/>
                <w:sz w:val="28"/>
                <w:szCs w:val="28"/>
                <w:highlight w:val="none"/>
                <w:lang w:val="en-US" w:eastAsia="zh-CN" w:bidi="ar-SA"/>
              </w:rPr>
              <w:t>24</w:t>
            </w:r>
            <w:r>
              <w:rPr>
                <w:rFonts w:hint="eastAsia" w:ascii="仿宋_GB2312" w:hAnsi="仿宋_GB2312" w:eastAsia="仿宋_GB2312" w:cs="仿宋_GB2312"/>
                <w:sz w:val="28"/>
                <w:szCs w:val="28"/>
                <w:highlight w:val="none"/>
                <w:lang w:val="en-US" w:eastAsia="zh-CN"/>
              </w:rPr>
              <w:t>小时。</w:t>
            </w:r>
          </w:p>
        </w:tc>
      </w:tr>
      <w:tr w14:paraId="49BB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024FFF46">
            <w:pPr>
              <w:numPr>
                <w:ilvl w:val="0"/>
                <w:numId w:val="1"/>
              </w:numPr>
              <w:adjustRightInd w:val="0"/>
              <w:snapToGrid w:val="0"/>
              <w:ind w:right="120" w:rightChars="5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服务时间及地点</w:t>
            </w:r>
          </w:p>
          <w:p w14:paraId="2E902EE0">
            <w:pPr>
              <w:adjustRightInd w:val="0"/>
              <w:snapToGrid w:val="0"/>
              <w:ind w:right="120" w:rightChars="50"/>
              <w:jc w:val="left"/>
              <w:rPr>
                <w:rFonts w:hint="default" w:ascii="仿宋_GB2312" w:hAnsi="仿宋_GB2312" w:eastAsia="仿宋_GB2312" w:cs="仿宋_GB2312"/>
                <w:b/>
                <w:bCs/>
                <w:sz w:val="28"/>
                <w:szCs w:val="28"/>
                <w:highlight w:val="none"/>
                <w:lang w:val="en-US"/>
              </w:rPr>
            </w:pPr>
            <w:r>
              <w:rPr>
                <w:rFonts w:hint="eastAsia" w:ascii="仿宋_GB2312" w:hAnsi="仿宋_GB2312" w:eastAsia="仿宋_GB2312" w:cs="仿宋_GB2312"/>
                <w:b/>
                <w:bCs/>
                <w:sz w:val="28"/>
                <w:szCs w:val="28"/>
                <w:highlight w:val="none"/>
                <w:lang w:eastAsia="zh-CN"/>
              </w:rPr>
              <w:t>服务期：</w:t>
            </w:r>
            <w:r>
              <w:rPr>
                <w:rFonts w:hint="eastAsia" w:ascii="仿宋_GB2312" w:hAnsi="仿宋_GB2312" w:eastAsia="仿宋_GB2312" w:cs="仿宋_GB2312"/>
                <w:b w:val="0"/>
                <w:bCs/>
                <w:kern w:val="2"/>
                <w:sz w:val="28"/>
                <w:szCs w:val="28"/>
                <w:highlight w:val="none"/>
                <w:lang w:val="en-US" w:eastAsia="zh-CN" w:bidi="ar-SA"/>
              </w:rPr>
              <w:t>本项目保险服务期间为</w:t>
            </w:r>
            <w:r>
              <w:rPr>
                <w:rFonts w:hint="default" w:ascii="Times New Roman" w:hAnsi="Times New Roman" w:eastAsia="仿宋_GB2312" w:cs="Times New Roman"/>
                <w:b w:val="0"/>
                <w:bCs/>
                <w:kern w:val="2"/>
                <w:sz w:val="28"/>
                <w:szCs w:val="28"/>
                <w:highlight w:val="none"/>
                <w:lang w:val="en-US" w:eastAsia="zh-CN" w:bidi="ar-SA"/>
              </w:rPr>
              <w:t>1</w:t>
            </w:r>
            <w:r>
              <w:rPr>
                <w:rFonts w:hint="eastAsia" w:ascii="仿宋_GB2312" w:hAnsi="仿宋_GB2312" w:eastAsia="仿宋_GB2312" w:cs="仿宋_GB2312"/>
                <w:b w:val="0"/>
                <w:bCs/>
                <w:kern w:val="2"/>
                <w:sz w:val="28"/>
                <w:szCs w:val="28"/>
                <w:highlight w:val="none"/>
                <w:lang w:val="en-US" w:eastAsia="zh-CN" w:bidi="ar-SA"/>
              </w:rPr>
              <w:t>年，自合同签订且保单正式生效之日起算，具体起止时间以保单载明为准</w:t>
            </w:r>
          </w:p>
          <w:p w14:paraId="41BAAA83">
            <w:pPr>
              <w:pStyle w:val="8"/>
              <w:ind w:left="0" w:leftChars="0" w:firstLine="0" w:firstLineChars="0"/>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highlight w:val="none"/>
                <w:lang w:val="en-US" w:eastAsia="zh-CN"/>
              </w:rPr>
              <w:t>服务地点：</w:t>
            </w:r>
            <w:r>
              <w:rPr>
                <w:rFonts w:hint="eastAsia" w:ascii="仿宋_GB2312" w:hAnsi="仿宋_GB2312" w:eastAsia="仿宋_GB2312" w:cs="仿宋_GB2312"/>
                <w:b w:val="0"/>
                <w:bCs/>
                <w:sz w:val="28"/>
                <w:szCs w:val="28"/>
                <w:highlight w:val="none"/>
                <w:lang w:val="en-US" w:eastAsia="zh-CN"/>
              </w:rPr>
              <w:t>中山市石岐区道湖滨路</w:t>
            </w:r>
            <w:r>
              <w:rPr>
                <w:rFonts w:hint="default" w:ascii="Times New Roman" w:hAnsi="Times New Roman" w:eastAsia="仿宋_GB2312" w:cs="Times New Roman"/>
                <w:b w:val="0"/>
                <w:bCs/>
                <w:sz w:val="28"/>
                <w:szCs w:val="28"/>
                <w:highlight w:val="none"/>
                <w:lang w:val="en-US" w:eastAsia="zh-CN"/>
              </w:rPr>
              <w:t>73</w:t>
            </w:r>
            <w:r>
              <w:rPr>
                <w:rFonts w:hint="eastAsia" w:ascii="仿宋_GB2312" w:hAnsi="仿宋_GB2312" w:eastAsia="仿宋_GB2312" w:cs="仿宋_GB2312"/>
                <w:b w:val="0"/>
                <w:bCs/>
                <w:sz w:val="28"/>
                <w:szCs w:val="28"/>
                <w:highlight w:val="none"/>
                <w:lang w:val="en-US" w:eastAsia="zh-CN"/>
              </w:rPr>
              <w:t>号中山市口腔医院</w:t>
            </w:r>
          </w:p>
        </w:tc>
      </w:tr>
      <w:tr w14:paraId="7806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5C85213D">
            <w:pPr>
              <w:adjustRightInd w:val="0"/>
              <w:snapToGrid w:val="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四、付款方式及条件：</w:t>
            </w:r>
          </w:p>
          <w:p w14:paraId="7E2CC8E0">
            <w:pPr>
              <w:adjustRightInd w:val="0"/>
              <w:snapToGrid w:val="0"/>
              <w:jc w:val="left"/>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t>1.</w:t>
            </w:r>
            <w:r>
              <w:rPr>
                <w:rFonts w:hint="eastAsia" w:ascii="仿宋_GB2312" w:hAnsi="仿宋_GB2312" w:eastAsia="仿宋_GB2312" w:cs="仿宋_GB2312"/>
                <w:sz w:val="28"/>
                <w:szCs w:val="28"/>
              </w:rPr>
              <w:t>付款方式：银行转账结算。</w:t>
            </w:r>
          </w:p>
          <w:p w14:paraId="5ABB37CC">
            <w:pPr>
              <w:adjustRightInd w:val="0"/>
              <w:snapToGrid w:val="0"/>
              <w:jc w:val="left"/>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t>2.</w:t>
            </w:r>
            <w:r>
              <w:rPr>
                <w:rFonts w:hint="eastAsia" w:ascii="仿宋_GB2312" w:hAnsi="仿宋_GB2312" w:eastAsia="仿宋_GB2312" w:cs="仿宋_GB2312"/>
                <w:sz w:val="28"/>
                <w:szCs w:val="28"/>
              </w:rPr>
              <w:t>付款时间及条件：</w:t>
            </w:r>
          </w:p>
          <w:p w14:paraId="487B8030">
            <w:pPr>
              <w:adjustRightInd w:val="0"/>
              <w:snapToGrid w:val="0"/>
              <w:jc w:val="left"/>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t>（1）</w:t>
            </w:r>
            <w:r>
              <w:rPr>
                <w:rFonts w:hint="eastAsia" w:ascii="Times New Roman" w:hAnsi="Times New Roman" w:eastAsia="仿宋_GB2312" w:cs="Times New Roman"/>
                <w:sz w:val="28"/>
                <w:szCs w:val="28"/>
                <w:lang w:val="en-US" w:eastAsia="zh-CN"/>
              </w:rPr>
              <w:t>自</w:t>
            </w:r>
            <w:r>
              <w:rPr>
                <w:rFonts w:hint="eastAsia" w:ascii="仿宋_GB2312" w:hAnsi="仿宋_GB2312" w:eastAsia="仿宋_GB2312" w:cs="仿宋_GB2312"/>
                <w:sz w:val="28"/>
                <w:szCs w:val="28"/>
              </w:rPr>
              <w:t>合同签订</w:t>
            </w:r>
            <w:r>
              <w:rPr>
                <w:rFonts w:hint="eastAsia" w:ascii="仿宋_GB2312" w:hAnsi="仿宋_GB2312" w:eastAsia="仿宋_GB2312" w:cs="仿宋_GB2312"/>
                <w:sz w:val="28"/>
                <w:szCs w:val="28"/>
                <w:lang w:val="en-US" w:eastAsia="zh-CN"/>
              </w:rPr>
              <w:t>之日起</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成交供应商向采购人</w:t>
            </w:r>
            <w:r>
              <w:rPr>
                <w:rFonts w:hint="eastAsia" w:ascii="仿宋_GB2312" w:hAnsi="仿宋_GB2312" w:eastAsia="仿宋_GB2312" w:cs="仿宋_GB2312"/>
                <w:sz w:val="28"/>
                <w:szCs w:val="28"/>
              </w:rPr>
              <w:t>提供</w:t>
            </w:r>
            <w:r>
              <w:rPr>
                <w:rFonts w:hint="eastAsia" w:ascii="仿宋_GB2312" w:hAnsi="仿宋_GB2312" w:eastAsia="仿宋_GB2312" w:cs="仿宋_GB2312"/>
                <w:sz w:val="28"/>
                <w:szCs w:val="28"/>
                <w:lang w:val="en-US" w:eastAsia="zh-CN"/>
              </w:rPr>
              <w:t>申请款项支付资料之后</w:t>
            </w:r>
            <w:r>
              <w:rPr>
                <w:rFonts w:hint="default" w:ascii="Times New Roman" w:hAnsi="Times New Roman" w:eastAsia="仿宋_GB2312" w:cs="Times New Roman"/>
                <w:sz w:val="28"/>
                <w:szCs w:val="28"/>
                <w:lang w:val="en-US" w:eastAsia="zh-CN"/>
              </w:rPr>
              <w:t>30</w:t>
            </w:r>
            <w:r>
              <w:rPr>
                <w:rFonts w:hint="eastAsia" w:ascii="仿宋_GB2312" w:hAnsi="仿宋_GB2312" w:eastAsia="仿宋_GB2312" w:cs="仿宋_GB2312"/>
                <w:sz w:val="28"/>
                <w:szCs w:val="28"/>
                <w:lang w:val="en-US" w:eastAsia="zh-CN"/>
              </w:rPr>
              <w:t>个工作日</w:t>
            </w:r>
            <w:r>
              <w:rPr>
                <w:rFonts w:hint="eastAsia" w:ascii="仿宋_GB2312" w:hAnsi="仿宋_GB2312" w:eastAsia="仿宋_GB2312" w:cs="仿宋_GB2312"/>
                <w:sz w:val="28"/>
                <w:szCs w:val="28"/>
              </w:rPr>
              <w:t>内，</w:t>
            </w:r>
            <w:r>
              <w:rPr>
                <w:rFonts w:hint="eastAsia" w:ascii="仿宋_GB2312" w:hAnsi="仿宋_GB2312" w:eastAsia="仿宋_GB2312" w:cs="仿宋_GB2312"/>
                <w:sz w:val="28"/>
                <w:szCs w:val="28"/>
                <w:lang w:val="en-US" w:eastAsia="zh-CN"/>
              </w:rPr>
              <w:t>采购人向成交供应商支付</w:t>
            </w:r>
            <w:r>
              <w:rPr>
                <w:rFonts w:hint="default" w:ascii="Times New Roman" w:hAnsi="Times New Roman" w:eastAsia="仿宋_GB2312" w:cs="Times New Roman"/>
                <w:sz w:val="28"/>
                <w:szCs w:val="28"/>
                <w:lang w:val="en-US" w:eastAsia="zh-CN"/>
              </w:rPr>
              <w:t>100%</w:t>
            </w:r>
            <w:r>
              <w:rPr>
                <w:rFonts w:hint="eastAsia" w:ascii="仿宋_GB2312" w:hAnsi="仿宋_GB2312" w:eastAsia="仿宋_GB2312" w:cs="仿宋_GB2312"/>
                <w:sz w:val="28"/>
                <w:szCs w:val="28"/>
                <w:lang w:val="en-US" w:eastAsia="zh-CN"/>
              </w:rPr>
              <w:t>的合同款项</w:t>
            </w:r>
            <w:r>
              <w:rPr>
                <w:rFonts w:hint="eastAsia" w:ascii="仿宋_GB2312" w:hAnsi="仿宋_GB2312" w:eastAsia="仿宋_GB2312" w:cs="仿宋_GB2312"/>
                <w:sz w:val="28"/>
                <w:szCs w:val="28"/>
              </w:rPr>
              <w:t>。</w:t>
            </w:r>
          </w:p>
          <w:p w14:paraId="6790A121">
            <w:pPr>
              <w:adjustRightInd w:val="0"/>
              <w:snapToGrid w:val="0"/>
              <w:jc w:val="left"/>
              <w:rPr>
                <w:rFonts w:hint="eastAsia" w:ascii="仿宋_GB2312" w:hAnsi="仿宋_GB2312" w:eastAsia="仿宋_GB2312" w:cs="仿宋_GB2312"/>
                <w:sz w:val="28"/>
                <w:szCs w:val="28"/>
                <w:lang w:val="en-US" w:eastAsia="zh-CN"/>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2）</w:t>
            </w:r>
            <w:r>
              <w:rPr>
                <w:rFonts w:hint="eastAsia" w:ascii="仿宋_GB2312" w:hAnsi="仿宋_GB2312" w:eastAsia="仿宋_GB2312" w:cs="仿宋_GB2312"/>
                <w:sz w:val="28"/>
                <w:szCs w:val="28"/>
                <w:lang w:val="en-US" w:eastAsia="zh-CN"/>
              </w:rPr>
              <w:t>合同的款项以人民币通过银行转账方式结算，成交供应商凭以下资料申请款项支付：</w:t>
            </w:r>
          </w:p>
          <w:p w14:paraId="5CFDF389">
            <w:pPr>
              <w:adjustRightInd w:val="0"/>
              <w:snapToGrid w:val="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①合同复印件；</w:t>
            </w:r>
          </w:p>
          <w:p w14:paraId="25DDD6A0">
            <w:pPr>
              <w:adjustRightInd w:val="0"/>
              <w:snapToGrid w:val="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②对应款项的正规全额发票和对应款项收据；</w:t>
            </w:r>
          </w:p>
          <w:p w14:paraId="36D6E735">
            <w:pPr>
              <w:adjustRightInd w:val="0"/>
              <w:snapToGrid w:val="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③成交供应商提供保单依据。</w:t>
            </w:r>
          </w:p>
          <w:p w14:paraId="0F894166">
            <w:pPr>
              <w:adjustRightInd w:val="0"/>
              <w:snapToGrid w:val="0"/>
              <w:jc w:val="left"/>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t>3.</w:t>
            </w:r>
            <w:r>
              <w:rPr>
                <w:rFonts w:hint="eastAsia" w:ascii="仿宋_GB2312" w:hAnsi="仿宋_GB2312" w:eastAsia="仿宋_GB2312" w:cs="仿宋_GB2312"/>
                <w:sz w:val="28"/>
                <w:szCs w:val="28"/>
              </w:rPr>
              <w:t>成交金额包含了本项目可能涉及的一切费用，包括所需的材料费、税费及合同履行过程中不可预见费用等，需方不再支付任何其他费用。</w:t>
            </w:r>
          </w:p>
        </w:tc>
      </w:tr>
      <w:tr w14:paraId="10AC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68B9226">
            <w:pPr>
              <w:numPr>
                <w:ilvl w:val="0"/>
                <w:numId w:val="2"/>
              </w:numPr>
              <w:adjustRightInd w:val="0"/>
              <w:snapToGrid w:val="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验收</w:t>
            </w:r>
          </w:p>
          <w:p w14:paraId="68B15397">
            <w:pPr>
              <w:adjustRightInd w:val="0"/>
              <w:snapToGrid w:val="0"/>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t>1.</w:t>
            </w:r>
            <w:r>
              <w:rPr>
                <w:rFonts w:hint="eastAsia" w:ascii="仿宋_GB2312" w:hAnsi="仿宋_GB2312" w:eastAsia="仿宋_GB2312" w:cs="仿宋_GB2312"/>
                <w:sz w:val="28"/>
                <w:szCs w:val="28"/>
              </w:rPr>
              <w:t>验收标准：按国家或地方或行业有关标准及</w:t>
            </w:r>
            <w:r>
              <w:rPr>
                <w:rFonts w:hint="eastAsia" w:ascii="仿宋_GB2312" w:hAnsi="仿宋_GB2312" w:eastAsia="仿宋_GB2312" w:cs="仿宋_GB2312"/>
                <w:sz w:val="28"/>
                <w:szCs w:val="28"/>
                <w:lang w:val="en-US" w:eastAsia="zh-CN"/>
              </w:rPr>
              <w:t>项目采购需求</w:t>
            </w:r>
            <w:r>
              <w:rPr>
                <w:rFonts w:hint="eastAsia" w:ascii="仿宋_GB2312" w:hAnsi="仿宋_GB2312" w:eastAsia="仿宋_GB2312" w:cs="仿宋_GB2312"/>
                <w:sz w:val="28"/>
                <w:szCs w:val="28"/>
              </w:rPr>
              <w:t>执行。</w:t>
            </w:r>
          </w:p>
          <w:p w14:paraId="5148D462">
            <w:pPr>
              <w:adjustRightInd w:val="0"/>
              <w:snapToGrid w:val="0"/>
              <w:rPr>
                <w:rFonts w:hint="eastAsia" w:ascii="仿宋_GB2312" w:hAnsi="仿宋_GB2312" w:eastAsia="仿宋_GB2312" w:cs="仿宋_GB2312"/>
                <w:sz w:val="28"/>
                <w:szCs w:val="28"/>
              </w:rPr>
            </w:pPr>
            <w:r>
              <w:rPr>
                <w:rFonts w:hint="eastAsia" w:ascii="Times New Roman" w:hAnsi="Times New Roman" w:eastAsia="仿宋_GB2312" w:cs="Times New Roman"/>
                <w:sz w:val="28"/>
                <w:szCs w:val="28"/>
              </w:rPr>
              <w:t>2.</w:t>
            </w:r>
            <w:r>
              <w:rPr>
                <w:rFonts w:hint="eastAsia" w:ascii="仿宋_GB2312" w:hAnsi="仿宋_GB2312" w:eastAsia="仿宋_GB2312" w:cs="仿宋_GB2312"/>
                <w:sz w:val="28"/>
                <w:szCs w:val="28"/>
              </w:rPr>
              <w:t>验收程序：按照中</w:t>
            </w:r>
            <w:r>
              <w:rPr>
                <w:rFonts w:hint="eastAsia" w:ascii="仿宋_GB2312" w:hAnsi="仿宋_GB2312" w:eastAsia="仿宋_GB2312" w:cs="仿宋_GB2312"/>
                <w:sz w:val="28"/>
                <w:szCs w:val="28"/>
                <w:lang w:eastAsia="zh-CN"/>
              </w:rPr>
              <w:t>山市口腔医院</w:t>
            </w:r>
            <w:r>
              <w:rPr>
                <w:rFonts w:hint="eastAsia" w:ascii="仿宋_GB2312" w:hAnsi="仿宋_GB2312" w:eastAsia="仿宋_GB2312" w:cs="仿宋_GB2312"/>
                <w:sz w:val="28"/>
                <w:szCs w:val="28"/>
              </w:rPr>
              <w:t>验收管理流程有关要求进行验收。</w:t>
            </w:r>
          </w:p>
          <w:p w14:paraId="0B6CB254">
            <w:pPr>
              <w:adjustRightInd w:val="0"/>
              <w:snapToGrid w:val="0"/>
              <w:rPr>
                <w:rFonts w:hint="eastAsia" w:ascii="仿宋_GB2312" w:hAnsi="仿宋_GB2312" w:eastAsia="仿宋_GB2312" w:cs="仿宋_GB2312"/>
                <w:sz w:val="28"/>
                <w:szCs w:val="28"/>
              </w:rPr>
            </w:pPr>
            <w:r>
              <w:rPr>
                <w:rFonts w:hint="eastAsia" w:ascii="Times New Roman" w:hAnsi="Times New Roman" w:eastAsia="仿宋_GB2312" w:cs="Times New Roman"/>
                <w:sz w:val="28"/>
                <w:szCs w:val="28"/>
              </w:rPr>
              <w:t>3.</w:t>
            </w:r>
            <w:r>
              <w:rPr>
                <w:rFonts w:hint="eastAsia" w:ascii="仿宋_GB2312" w:hAnsi="仿宋_GB2312" w:eastAsia="仿宋_GB2312" w:cs="仿宋_GB2312"/>
                <w:sz w:val="28"/>
                <w:szCs w:val="28"/>
              </w:rPr>
              <w:t>验收报告：由采购人出具验收报告。</w:t>
            </w:r>
          </w:p>
          <w:p w14:paraId="4D39F8F1">
            <w:pPr>
              <w:adjustRightInd w:val="0"/>
              <w:snapToGrid w:val="0"/>
              <w:rPr>
                <w:rFonts w:hint="eastAsia" w:ascii="仿宋_GB2312" w:hAnsi="仿宋_GB2312" w:eastAsia="仿宋_GB2312" w:cs="仿宋_GB2312"/>
                <w:sz w:val="28"/>
                <w:szCs w:val="28"/>
              </w:rPr>
            </w:pPr>
            <w:r>
              <w:rPr>
                <w:rFonts w:hint="eastAsia" w:ascii="Times New Roman" w:hAnsi="Times New Roman" w:eastAsia="仿宋_GB2312" w:cs="Times New Roman"/>
                <w:sz w:val="28"/>
                <w:szCs w:val="28"/>
              </w:rPr>
              <w:t>4.</w:t>
            </w:r>
            <w:r>
              <w:rPr>
                <w:rFonts w:hint="eastAsia" w:ascii="仿宋_GB2312" w:hAnsi="仿宋_GB2312" w:eastAsia="仿宋_GB2312" w:cs="仿宋_GB2312"/>
                <w:sz w:val="28"/>
                <w:szCs w:val="28"/>
              </w:rPr>
              <w:t>组织验收主体：本项目的履约验收工作由采购人依法组织实施。</w:t>
            </w:r>
          </w:p>
        </w:tc>
      </w:tr>
      <w:tr w14:paraId="1292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76E7AEEF">
            <w:pPr>
              <w:numPr>
                <w:ilvl w:val="0"/>
                <w:numId w:val="2"/>
              </w:numPr>
              <w:adjustRightInd w:val="0"/>
              <w:snapToGrid w:val="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售后服务</w:t>
            </w:r>
          </w:p>
          <w:p w14:paraId="40C47BD9">
            <w:pPr>
              <w:pStyle w:val="8"/>
              <w:numPr>
                <w:ilvl w:val="0"/>
                <w:numId w:val="0"/>
              </w:numPr>
              <w:ind w:left="0" w:leftChars="0" w:firstLine="0" w:firstLineChars="0"/>
              <w:rPr>
                <w:rFonts w:hint="eastAsia" w:ascii="仿宋_GB2312" w:hAnsi="仿宋_GB2312" w:eastAsia="仿宋_GB2312" w:cs="仿宋_GB2312"/>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仿宋_GB2312" w:hAnsi="仿宋_GB2312" w:eastAsia="仿宋_GB2312" w:cs="仿宋_GB2312"/>
                <w:sz w:val="28"/>
                <w:szCs w:val="28"/>
                <w:lang w:val="en-US" w:eastAsia="zh-CN"/>
              </w:rPr>
              <w:t>热线支持：提供</w:t>
            </w:r>
            <w:r>
              <w:rPr>
                <w:rFonts w:hint="eastAsia" w:ascii="Times New Roman" w:hAnsi="Times New Roman" w:eastAsia="仿宋_GB2312" w:cs="Times New Roman"/>
                <w:kern w:val="2"/>
                <w:sz w:val="28"/>
                <w:szCs w:val="28"/>
                <w:lang w:val="en-US" w:eastAsia="zh-CN" w:bidi="ar-SA"/>
              </w:rPr>
              <w:t>7*24</w:t>
            </w:r>
            <w:r>
              <w:rPr>
                <w:rFonts w:hint="eastAsia" w:ascii="仿宋_GB2312" w:hAnsi="仿宋_GB2312" w:eastAsia="仿宋_GB2312" w:cs="仿宋_GB2312"/>
                <w:sz w:val="28"/>
                <w:szCs w:val="28"/>
                <w:lang w:val="en-US" w:eastAsia="zh-CN"/>
              </w:rPr>
              <w:t>小时热线支持。</w:t>
            </w:r>
          </w:p>
          <w:p w14:paraId="729AF6B7">
            <w:pPr>
              <w:adjustRightInd w:val="0"/>
              <w:snapToGrid w:val="0"/>
              <w:jc w:val="left"/>
              <w:rPr>
                <w:rFonts w:hint="default" w:ascii="仿宋_GB2312" w:hAnsi="仿宋_GB2312" w:eastAsia="仿宋_GB2312" w:cs="仿宋_GB2312"/>
                <w:sz w:val="28"/>
                <w:szCs w:val="28"/>
                <w:lang w:val="en-US" w:eastAsia="zh-CN"/>
              </w:rPr>
            </w:pPr>
            <w:r>
              <w:rPr>
                <w:rFonts w:hint="eastAsia" w:ascii="Times New Roman" w:hAnsi="Times New Roman" w:eastAsia="仿宋_GB2312" w:cs="Times New Roman"/>
                <w:kern w:val="2"/>
                <w:sz w:val="28"/>
                <w:szCs w:val="28"/>
                <w:lang w:val="en-US" w:eastAsia="zh-CN" w:bidi="ar-SA"/>
              </w:rPr>
              <w:t>2.专</w:t>
            </w:r>
            <w:r>
              <w:rPr>
                <w:rFonts w:hint="eastAsia" w:ascii="仿宋_GB2312" w:hAnsi="仿宋_GB2312" w:eastAsia="仿宋_GB2312" w:cs="仿宋_GB2312"/>
                <w:sz w:val="28"/>
                <w:szCs w:val="28"/>
                <w:lang w:val="en-US" w:eastAsia="zh-CN"/>
              </w:rPr>
              <w:t>人服务：成交供应商应指定专人负责本项目的日常对接、咨询解答、理赔协助等售后服务工作，确保服务响应的及时性和连续性。</w:t>
            </w:r>
          </w:p>
        </w:tc>
      </w:tr>
      <w:tr w14:paraId="1C10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9"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0915B23">
            <w:pPr>
              <w:adjustRightInd w:val="0"/>
              <w:snapToGrid w:val="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七、知识产权及保密：</w:t>
            </w:r>
          </w:p>
          <w:p w14:paraId="4BEB2C21">
            <w:pPr>
              <w:adjustRightInd w:val="0"/>
              <w:snapToGrid w:val="0"/>
              <w:ind w:right="120" w:rightChars="50"/>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lang w:bidi="zh-CN"/>
              </w:rPr>
              <w:t>1.成交供应商应保证其向采购人提供的本合同项下的货物或服务以及其中包含的任何一部分不侵犯任何第三方的作品、发明专利、商业秘密等知识产权。如因上述原因，第三方向采购人提起侵权诉讼，成交供应商负责交涉、处理并承担由此引起的全部法律及经济责任。</w:t>
            </w:r>
          </w:p>
          <w:p w14:paraId="6C8DEF14">
            <w:pPr>
              <w:adjustRightInd w:val="0"/>
              <w:snapToGrid w:val="0"/>
              <w:ind w:right="120" w:rightChars="50"/>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lang w:bidi="zh-CN"/>
              </w:rPr>
              <w:t>2.一方对另一方提供的技术资料、样件、图纸及其他与质量、技术、经营相关信息（包括但不限于价格、数量）有保密义务。双方应确保其人员及相关协作方承担保密义务。</w:t>
            </w:r>
          </w:p>
          <w:p w14:paraId="590A863D">
            <w:pPr>
              <w:adjustRightInd w:val="0"/>
              <w:snapToGrid w:val="0"/>
              <w:ind w:right="120" w:rightChars="50"/>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lang w:bidi="zh-CN"/>
              </w:rPr>
              <w:t>3.成交供应商保证，成交供应商依据本合同提供的货物或服务以及与之相关的软件和技术资料，成交供应商均已得到有关知识产权的权利人的合法授权，如发生涉及专利权、著作权、商标权等争议，成交供应商负责交涉、处理，并承担由此引起的对第三人和采购人的全部法律及经济责任。</w:t>
            </w:r>
          </w:p>
          <w:p w14:paraId="45B225CE">
            <w:pPr>
              <w:adjustRightInd w:val="0"/>
              <w:snapToGrid w:val="0"/>
              <w:ind w:right="120" w:rightChars="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zh-CN"/>
              </w:rPr>
              <w:t>4.本合同中涉及知识产权任何条款，在合同期限内及合同终止后持续有效。</w:t>
            </w:r>
          </w:p>
        </w:tc>
      </w:tr>
      <w:tr w14:paraId="3222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D6673E0">
            <w:pPr>
              <w:adjustRightInd w:val="0"/>
              <w:snapToGrid w:val="0"/>
              <w:ind w:right="120" w:rightChars="5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八、其他：</w:t>
            </w:r>
          </w:p>
          <w:p w14:paraId="4A402DF1">
            <w:pPr>
              <w:adjustRightInd w:val="0"/>
              <w:snapToGrid w:val="0"/>
              <w:ind w:right="120" w:rightChars="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成交供应商在提供服务全流程过程中，发生的所有人身伤害或财产损失均由成交供应商自行承担全部责任。</w:t>
            </w:r>
          </w:p>
        </w:tc>
      </w:tr>
    </w:tbl>
    <w:p w14:paraId="78DEFCEA">
      <w:pPr>
        <w:spacing w:line="360" w:lineRule="auto"/>
        <w:rPr>
          <w:rFonts w:hint="eastAsia" w:ascii="仿宋_GB2312" w:hAnsi="仿宋_GB2312" w:eastAsia="仿宋_GB2312" w:cs="仿宋_GB2312"/>
          <w:sz w:val="28"/>
          <w:szCs w:val="28"/>
          <w:lang w:eastAsia="zh-CN"/>
        </w:rPr>
        <w:sectPr>
          <w:pgSz w:w="11900" w:h="16840"/>
          <w:pgMar w:top="1440" w:right="1800" w:bottom="1440" w:left="1800" w:header="851" w:footer="992" w:gutter="0"/>
          <w:pgNumType w:fmt="decimal"/>
          <w:cols w:space="425" w:num="1"/>
          <w:docGrid w:type="lines" w:linePitch="312" w:charSpace="0"/>
        </w:sectPr>
      </w:pPr>
    </w:p>
    <w:p w14:paraId="33108BB0">
      <w:pPr>
        <w:spacing w:line="240" w:lineRule="auto"/>
        <w:jc w:val="left"/>
        <w:rPr>
          <w:rFonts w:hint="eastAsia" w:ascii="仿宋_GB2312" w:hAnsi="仿宋_GB2312" w:eastAsia="仿宋_GB2312" w:cs="仿宋_GB2312"/>
          <w:i/>
          <w:iCs/>
          <w:color w:val="FF0000"/>
          <w:sz w:val="28"/>
          <w:szCs w:val="28"/>
          <w:highlight w:val="yellow"/>
          <w:lang w:eastAsia="zh-CN"/>
        </w:rPr>
      </w:pPr>
      <w:r>
        <w:rPr>
          <w:rFonts w:hint="eastAsia" w:ascii="仿宋_GB2312" w:hAnsi="仿宋_GB2312" w:eastAsia="仿宋_GB2312" w:cs="仿宋_GB2312"/>
          <w:sz w:val="28"/>
          <w:szCs w:val="28"/>
          <w:lang w:eastAsia="zh-CN"/>
        </w:rPr>
        <w:t>附：综合评分表</w:t>
      </w:r>
    </w:p>
    <w:tbl>
      <w:tblPr>
        <w:tblStyle w:val="12"/>
        <w:tblW w:w="944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4"/>
        <w:gridCol w:w="1612"/>
        <w:gridCol w:w="6552"/>
      </w:tblGrid>
      <w:tr w14:paraId="2CF2A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noWrap/>
            <w:vAlign w:val="center"/>
          </w:tcPr>
          <w:p w14:paraId="0D170E1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 w:val="left" w:pos="7720"/>
              </w:tabs>
              <w:spacing w:before="0" w:beforeAutospacing="0" w:after="0" w:afterAutospacing="0" w:line="240" w:lineRule="auto"/>
              <w:ind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ab/>
            </w:r>
            <w:r>
              <w:rPr>
                <w:rFonts w:hint="eastAsia" w:ascii="仿宋_GB2312" w:hAnsi="仿宋_GB2312" w:eastAsia="仿宋_GB2312" w:cs="仿宋_GB2312"/>
                <w:sz w:val="28"/>
                <w:szCs w:val="28"/>
              </w:rPr>
              <w:t>评审因素</w:t>
            </w:r>
          </w:p>
        </w:tc>
        <w:tc>
          <w:tcPr>
            <w:tcW w:w="8164" w:type="dxa"/>
            <w:gridSpan w:val="2"/>
            <w:noWrap/>
          </w:tcPr>
          <w:p w14:paraId="22C1D796">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评审标准</w:t>
            </w:r>
          </w:p>
        </w:tc>
      </w:tr>
      <w:tr w14:paraId="5A4EF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noWrap/>
            <w:vAlign w:val="center"/>
          </w:tcPr>
          <w:p w14:paraId="6902630F">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分值</w:t>
            </w:r>
          </w:p>
          <w:p w14:paraId="37EEF424">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构成</w:t>
            </w:r>
          </w:p>
        </w:tc>
        <w:tc>
          <w:tcPr>
            <w:tcW w:w="8164" w:type="dxa"/>
            <w:gridSpan w:val="2"/>
            <w:noWrap/>
          </w:tcPr>
          <w:p w14:paraId="0EE8D9D7">
            <w:pPr>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商务技术</w:t>
            </w:r>
            <w:r>
              <w:rPr>
                <w:rFonts w:hint="eastAsia" w:ascii="仿宋_GB2312" w:hAnsi="仿宋_GB2312" w:eastAsia="仿宋_GB2312" w:cs="仿宋_GB2312"/>
                <w:sz w:val="28"/>
                <w:szCs w:val="28"/>
              </w:rPr>
              <w:t>部分</w:t>
            </w:r>
            <w:r>
              <w:rPr>
                <w:rFonts w:hint="default" w:ascii="Times New Roman" w:hAnsi="Times New Roman" w:eastAsia="仿宋_GB2312" w:cs="Times New Roman"/>
                <w:sz w:val="28"/>
                <w:szCs w:val="28"/>
                <w:lang w:val="en-US" w:eastAsia="zh-CN"/>
              </w:rPr>
              <w:t>90</w:t>
            </w:r>
            <w:r>
              <w:rPr>
                <w:rFonts w:hint="default" w:ascii="Times New Roman" w:hAnsi="Times New Roman" w:eastAsia="仿宋_GB2312" w:cs="Times New Roman"/>
                <w:sz w:val="28"/>
                <w:szCs w:val="28"/>
              </w:rPr>
              <w:t>.0</w:t>
            </w:r>
            <w:r>
              <w:rPr>
                <w:rFonts w:hint="eastAsia" w:ascii="Times New Roman" w:hAnsi="Times New Roman" w:eastAsia="仿宋_GB2312" w:cs="Times New Roman"/>
                <w:sz w:val="28"/>
                <w:szCs w:val="28"/>
                <w:lang w:val="en-US" w:eastAsia="zh-CN"/>
              </w:rPr>
              <w:t>0</w:t>
            </w:r>
            <w:r>
              <w:rPr>
                <w:rFonts w:hint="eastAsia" w:ascii="仿宋_GB2312" w:hAnsi="仿宋_GB2312" w:eastAsia="仿宋_GB2312" w:cs="仿宋_GB2312"/>
                <w:sz w:val="28"/>
                <w:szCs w:val="28"/>
              </w:rPr>
              <w:t>分</w:t>
            </w:r>
          </w:p>
          <w:p w14:paraId="291C36ED">
            <w:pPr>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价格得分</w:t>
            </w:r>
            <w:r>
              <w:rPr>
                <w:rFonts w:hint="eastAsia" w:ascii="Times New Roman" w:hAnsi="Times New Roman" w:eastAsia="仿宋_GB2312" w:cs="Times New Roman"/>
                <w:sz w:val="28"/>
                <w:szCs w:val="28"/>
                <w:lang w:val="en-US" w:eastAsia="zh-CN"/>
              </w:rPr>
              <w:t>10.0</w:t>
            </w:r>
            <w:r>
              <w:rPr>
                <w:rFonts w:hint="eastAsia" w:eastAsia="仿宋_GB2312" w:cs="Times New Roman"/>
                <w:sz w:val="28"/>
                <w:szCs w:val="28"/>
                <w:lang w:val="en-US" w:eastAsia="zh-CN"/>
              </w:rPr>
              <w:t>0</w:t>
            </w:r>
            <w:r>
              <w:rPr>
                <w:rFonts w:hint="eastAsia" w:ascii="仿宋_GB2312" w:hAnsi="仿宋_GB2312" w:eastAsia="仿宋_GB2312" w:cs="仿宋_GB2312"/>
                <w:sz w:val="28"/>
                <w:szCs w:val="28"/>
              </w:rPr>
              <w:t>分</w:t>
            </w:r>
          </w:p>
        </w:tc>
      </w:tr>
      <w:tr w14:paraId="3BEF5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828" w:hRule="atLeast"/>
          <w:jc w:val="center"/>
        </w:trPr>
        <w:tc>
          <w:tcPr>
            <w:tcW w:w="1284" w:type="dxa"/>
            <w:vMerge w:val="restart"/>
            <w:noWrap/>
            <w:vAlign w:val="center"/>
          </w:tcPr>
          <w:p w14:paraId="6B2BE236">
            <w:pPr>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商务</w:t>
            </w:r>
          </w:p>
          <w:p w14:paraId="396D5024">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w:t>
            </w:r>
          </w:p>
          <w:p w14:paraId="13D6E9C5">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部分</w:t>
            </w:r>
          </w:p>
          <w:p w14:paraId="4E05E5EA">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Times New Roman" w:hAnsi="Times New Roman" w:eastAsia="仿宋_GB2312" w:cs="Times New Roman"/>
                <w:sz w:val="28"/>
                <w:szCs w:val="28"/>
                <w:lang w:val="en-US" w:eastAsia="zh-CN"/>
              </w:rPr>
              <w:t>90</w:t>
            </w:r>
            <w:r>
              <w:rPr>
                <w:rFonts w:hint="eastAsia" w:ascii="仿宋_GB2312" w:hAnsi="仿宋_GB2312" w:eastAsia="仿宋_GB2312" w:cs="仿宋_GB2312"/>
                <w:sz w:val="28"/>
                <w:szCs w:val="28"/>
              </w:rPr>
              <w:t>分）</w:t>
            </w:r>
          </w:p>
        </w:tc>
        <w:tc>
          <w:tcPr>
            <w:tcW w:w="1612" w:type="dxa"/>
            <w:noWrap/>
            <w:vAlign w:val="center"/>
          </w:tcPr>
          <w:p w14:paraId="25FC838B">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响应服务</w:t>
            </w:r>
            <w:r>
              <w:rPr>
                <w:rFonts w:hint="eastAsia" w:ascii="仿宋_GB2312" w:hAnsi="仿宋_GB2312" w:eastAsia="仿宋_GB2312" w:cs="仿宋_GB2312"/>
                <w:sz w:val="28"/>
                <w:szCs w:val="28"/>
              </w:rPr>
              <w:t>方案</w:t>
            </w:r>
          </w:p>
          <w:p w14:paraId="289F16E8">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30</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p>
        </w:tc>
        <w:tc>
          <w:tcPr>
            <w:tcW w:w="6552" w:type="dxa"/>
            <w:noWrap/>
            <w:vAlign w:val="center"/>
          </w:tcPr>
          <w:p w14:paraId="07C9E2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根据供应商提供的实施方案（包括但不限于</w:t>
            </w:r>
            <w:r>
              <w:rPr>
                <w:rFonts w:hint="eastAsia" w:ascii="仿宋_GB2312" w:hAnsi="仿宋_GB2312" w:eastAsia="仿宋_GB2312" w:cs="仿宋_GB2312"/>
                <w:sz w:val="28"/>
                <w:szCs w:val="28"/>
                <w:lang w:val="en-US" w:eastAsia="zh-CN"/>
              </w:rPr>
              <w:t>保险方案书、呈报范围、理赔时效及便捷性、免责范围、理赔程序、服务承诺及附加值服务等</w:t>
            </w:r>
            <w:r>
              <w:rPr>
                <w:rFonts w:hint="eastAsia" w:ascii="仿宋_GB2312" w:hAnsi="仿宋_GB2312" w:eastAsia="仿宋_GB2312" w:cs="仿宋_GB2312"/>
                <w:sz w:val="28"/>
                <w:szCs w:val="28"/>
              </w:rPr>
              <w:t xml:space="preserve">）进行评审：  </w:t>
            </w:r>
          </w:p>
          <w:p w14:paraId="412C16A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default" w:ascii="Times New Roman" w:hAnsi="Times New Roman" w:eastAsia="仿宋_GB2312" w:cs="Times New Roman"/>
                <w:kern w:val="2"/>
                <w:sz w:val="28"/>
                <w:szCs w:val="28"/>
                <w:lang w:val="en-US" w:eastAsia="zh-CN" w:bidi="ar-SA"/>
              </w:rPr>
              <w:t>1.</w:t>
            </w:r>
            <w:r>
              <w:rPr>
                <w:rFonts w:hint="eastAsia" w:eastAsia="仿宋_GB2312" w:cs="Times New Roman"/>
                <w:kern w:val="2"/>
                <w:sz w:val="28"/>
                <w:szCs w:val="28"/>
                <w:lang w:val="en-US" w:eastAsia="zh-CN" w:bidi="ar-SA"/>
              </w:rPr>
              <w:t>响应服务方案完全保险方案内容全面、详细、准确，承保范围内容丰富多样，理赔便捷等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优于采购</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需求的，得</w:t>
            </w:r>
            <w:r>
              <w:rPr>
                <w:rFonts w:hint="eastAsia" w:ascii="Times New Roman" w:hAnsi="Times New Roman" w:eastAsia="仿宋_GB2312" w:cs="Times New Roman"/>
                <w:kern w:val="2"/>
                <w:sz w:val="28"/>
                <w:szCs w:val="28"/>
                <w:lang w:val="en-US" w:eastAsia="zh-CN" w:bidi="ar-SA"/>
              </w:rPr>
              <w:t>30</w:t>
            </w:r>
            <w:r>
              <w:rPr>
                <w:rFonts w:hint="eastAsia" w:ascii="仿宋_GB2312" w:hAnsi="仿宋_GB2312" w:eastAsia="仿宋_GB2312" w:cs="仿宋_GB2312"/>
                <w:sz w:val="28"/>
                <w:szCs w:val="28"/>
              </w:rPr>
              <w:t xml:space="preserve">分；  </w:t>
            </w:r>
          </w:p>
          <w:p w14:paraId="53DC729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Times New Roman" w:hAnsi="Times New Roman" w:eastAsia="仿宋_GB2312" w:cs="Times New Roman"/>
                <w:kern w:val="2"/>
                <w:sz w:val="28"/>
                <w:szCs w:val="28"/>
                <w:lang w:val="en-US" w:eastAsia="zh-CN" w:bidi="ar-SA"/>
              </w:rPr>
              <w:t>2.</w:t>
            </w:r>
            <w:r>
              <w:rPr>
                <w:rFonts w:hint="eastAsia" w:ascii="仿宋_GB2312" w:hAnsi="仿宋_GB2312" w:eastAsia="仿宋_GB2312" w:cs="仿宋_GB2312"/>
                <w:sz w:val="28"/>
                <w:szCs w:val="28"/>
                <w:lang w:val="en-US" w:eastAsia="zh-CN"/>
              </w:rPr>
              <w:t>响应服务方案比较完善，保险方案内容较全面、详细、准确，承保范围相对较多，理赔较便捷等，完全满足项目采购需求的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20</w:t>
            </w:r>
            <w:r>
              <w:rPr>
                <w:rFonts w:hint="eastAsia" w:ascii="仿宋_GB2312" w:hAnsi="仿宋_GB2312" w:eastAsia="仿宋_GB2312" w:cs="仿宋_GB2312"/>
                <w:sz w:val="28"/>
                <w:szCs w:val="28"/>
              </w:rPr>
              <w:t xml:space="preserve">分；  </w:t>
            </w:r>
          </w:p>
          <w:p w14:paraId="05C046B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lang w:val="en-US" w:eastAsia="zh-CN"/>
              </w:rPr>
              <w:t>响应服务方案不够完善，保险方案内容不够全面、详细，承保范围相对较少、理赔不够便捷等，部分满足项目采购需求的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10</w:t>
            </w:r>
            <w:r>
              <w:rPr>
                <w:rFonts w:hint="eastAsia" w:ascii="仿宋_GB2312" w:hAnsi="仿宋_GB2312" w:eastAsia="仿宋_GB2312" w:cs="仿宋_GB2312"/>
                <w:sz w:val="28"/>
                <w:szCs w:val="28"/>
              </w:rPr>
              <w:t xml:space="preserve">分；  </w:t>
            </w:r>
          </w:p>
          <w:p w14:paraId="412CA7D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i w:val="0"/>
                <w:iCs w:val="0"/>
                <w:caps w:val="0"/>
                <w:spacing w:val="0"/>
                <w:sz w:val="28"/>
                <w:szCs w:val="28"/>
                <w:shd w:val="clear"/>
              </w:rPr>
              <w:t>响应服务方案不完善，保险方案内容不全面，承保范围少、理赔不便捷等，不满足项目采购需求的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5</w:t>
            </w:r>
            <w:r>
              <w:rPr>
                <w:rFonts w:hint="eastAsia" w:ascii="仿宋_GB2312" w:hAnsi="仿宋_GB2312" w:eastAsia="仿宋_GB2312" w:cs="仿宋_GB2312"/>
                <w:sz w:val="28"/>
                <w:szCs w:val="28"/>
              </w:rPr>
              <w:t xml:space="preserve">分。 </w:t>
            </w:r>
          </w:p>
          <w:p w14:paraId="675F0CD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注：无相关方案的，不得分。</w:t>
            </w:r>
          </w:p>
        </w:tc>
      </w:tr>
      <w:tr w14:paraId="511F8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54" w:hRule="atLeast"/>
          <w:jc w:val="center"/>
        </w:trPr>
        <w:tc>
          <w:tcPr>
            <w:tcW w:w="1284" w:type="dxa"/>
            <w:vMerge w:val="continue"/>
            <w:noWrap/>
            <w:vAlign w:val="center"/>
          </w:tcPr>
          <w:p w14:paraId="24F9837E">
            <w:pPr>
              <w:spacing w:line="240" w:lineRule="auto"/>
              <w:jc w:val="center"/>
              <w:rPr>
                <w:rFonts w:hint="eastAsia" w:ascii="仿宋_GB2312" w:hAnsi="仿宋_GB2312" w:eastAsia="仿宋_GB2312" w:cs="仿宋_GB2312"/>
                <w:sz w:val="28"/>
                <w:szCs w:val="28"/>
              </w:rPr>
            </w:pPr>
          </w:p>
        </w:tc>
        <w:tc>
          <w:tcPr>
            <w:tcW w:w="1612" w:type="dxa"/>
            <w:noWrap/>
            <w:vAlign w:val="center"/>
          </w:tcPr>
          <w:p w14:paraId="138725C6">
            <w:pPr>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理赔服务方案整体服务</w:t>
            </w:r>
          </w:p>
          <w:p w14:paraId="7CB6B730">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Times New Roman" w:hAnsi="Times New Roman" w:eastAsia="仿宋_GB2312" w:cs="Times New Roman"/>
                <w:sz w:val="28"/>
                <w:szCs w:val="28"/>
                <w:lang w:val="en-US" w:eastAsia="zh-CN"/>
              </w:rPr>
              <w:t>20</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p>
        </w:tc>
        <w:tc>
          <w:tcPr>
            <w:tcW w:w="6552" w:type="dxa"/>
            <w:noWrap/>
            <w:vAlign w:val="center"/>
          </w:tcPr>
          <w:p w14:paraId="69878A2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spacing w:val="0"/>
                <w:sz w:val="28"/>
                <w:szCs w:val="28"/>
                <w:shd w:val="clear"/>
              </w:rPr>
              <w:t>对供应商提供的理赔服务方案进行评审</w:t>
            </w:r>
            <w:r>
              <w:rPr>
                <w:rFonts w:hint="eastAsia" w:ascii="仿宋_GB2312" w:hAnsi="仿宋_GB2312" w:eastAsia="仿宋_GB2312" w:cs="仿宋_GB2312"/>
                <w:sz w:val="28"/>
                <w:szCs w:val="28"/>
              </w:rPr>
              <w:t>：</w:t>
            </w:r>
          </w:p>
          <w:p w14:paraId="7E8000A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Times New Roman" w:hAnsi="Times New Roman" w:eastAsia="仿宋_GB2312" w:cs="Times New Roman"/>
                <w:kern w:val="2"/>
                <w:sz w:val="28"/>
                <w:szCs w:val="28"/>
                <w:lang w:val="en-US" w:eastAsia="zh-CN" w:bidi="ar-SA"/>
              </w:rPr>
              <w:t xml:space="preserve">1. </w:t>
            </w:r>
            <w:r>
              <w:rPr>
                <w:rFonts w:hint="eastAsia" w:ascii="仿宋_GB2312" w:hAnsi="仿宋_GB2312" w:eastAsia="仿宋_GB2312" w:cs="仿宋_GB2312"/>
                <w:i w:val="0"/>
                <w:iCs w:val="0"/>
                <w:caps w:val="0"/>
                <w:spacing w:val="0"/>
                <w:sz w:val="28"/>
                <w:szCs w:val="28"/>
                <w:shd w:val="clear"/>
              </w:rPr>
              <w:t>实施流程全面、具体，清晰明确了理赔方式、理赔地点、理赔审核期限、赔付期限等具体措施，理赔服务能力突出，针对性和可行性强，有利于提高服务质量的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20</w:t>
            </w:r>
            <w:r>
              <w:rPr>
                <w:rFonts w:hint="eastAsia" w:ascii="仿宋_GB2312" w:hAnsi="仿宋_GB2312" w:eastAsia="仿宋_GB2312" w:cs="仿宋_GB2312"/>
                <w:sz w:val="28"/>
                <w:szCs w:val="28"/>
              </w:rPr>
              <w:t>分；</w:t>
            </w:r>
          </w:p>
          <w:p w14:paraId="0A462D5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Times New Roman" w:hAnsi="Times New Roman" w:eastAsia="仿宋_GB2312" w:cs="Times New Roman"/>
                <w:kern w:val="2"/>
                <w:sz w:val="28"/>
                <w:szCs w:val="28"/>
                <w:lang w:val="en-US" w:eastAsia="zh-CN" w:bidi="ar-SA"/>
              </w:rPr>
              <w:t>2.</w:t>
            </w:r>
            <w:r>
              <w:rPr>
                <w:rFonts w:hint="eastAsia" w:ascii="仿宋_GB2312" w:hAnsi="仿宋_GB2312" w:eastAsia="仿宋_GB2312" w:cs="仿宋_GB2312"/>
                <w:i w:val="0"/>
                <w:iCs w:val="0"/>
                <w:caps w:val="0"/>
                <w:spacing w:val="0"/>
                <w:sz w:val="28"/>
                <w:szCs w:val="28"/>
                <w:shd w:val="clear"/>
              </w:rPr>
              <w:t>实施流程较全面、具体，较好明确了理赔方式、理赔地点、理赔审核期限、赔付期限等具体措施，理赔服务能力较好，基本可行，可保障基本服务质量的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15</w:t>
            </w:r>
            <w:r>
              <w:rPr>
                <w:rFonts w:hint="eastAsia" w:ascii="仿宋_GB2312" w:hAnsi="仿宋_GB2312" w:eastAsia="仿宋_GB2312" w:cs="仿宋_GB2312"/>
                <w:sz w:val="28"/>
                <w:szCs w:val="28"/>
              </w:rPr>
              <w:t xml:space="preserve">分； </w:t>
            </w:r>
          </w:p>
          <w:p w14:paraId="0DE528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Times New Roman" w:hAnsi="Times New Roman" w:eastAsia="仿宋_GB2312" w:cs="Times New Roman"/>
                <w:kern w:val="2"/>
                <w:sz w:val="28"/>
                <w:szCs w:val="28"/>
                <w:lang w:val="en-US" w:eastAsia="zh-CN" w:bidi="ar-SA"/>
              </w:rPr>
              <w:t>3.</w:t>
            </w:r>
            <w:r>
              <w:rPr>
                <w:rFonts w:hint="eastAsia" w:ascii="仿宋_GB2312" w:hAnsi="仿宋_GB2312" w:eastAsia="仿宋_GB2312" w:cs="仿宋_GB2312"/>
                <w:i w:val="0"/>
                <w:iCs w:val="0"/>
                <w:caps w:val="0"/>
                <w:spacing w:val="0"/>
                <w:sz w:val="28"/>
                <w:szCs w:val="28"/>
                <w:shd w:val="clear"/>
              </w:rPr>
              <w:t>有实施流程但不够具体，有理赔方式、理赔地点、理赔审核期限、赔付期限等具体措施，针对性和可行性一般，基本服务质量保障尚可的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10</w:t>
            </w:r>
            <w:r>
              <w:rPr>
                <w:rFonts w:hint="eastAsia" w:ascii="仿宋_GB2312" w:hAnsi="仿宋_GB2312" w:eastAsia="仿宋_GB2312" w:cs="仿宋_GB2312"/>
                <w:sz w:val="28"/>
                <w:szCs w:val="28"/>
              </w:rPr>
              <w:t xml:space="preserve">分； </w:t>
            </w:r>
          </w:p>
          <w:p w14:paraId="152F02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8"/>
                <w:szCs w:val="28"/>
              </w:rPr>
            </w:pPr>
            <w:r>
              <w:rPr>
                <w:rFonts w:hint="eastAsia" w:eastAsia="仿宋_GB2312" w:cs="Times New Roman"/>
                <w:kern w:val="2"/>
                <w:sz w:val="28"/>
                <w:szCs w:val="28"/>
                <w:lang w:val="en-US" w:eastAsia="zh-CN" w:bidi="ar-SA"/>
              </w:rPr>
              <w:t>4.</w:t>
            </w:r>
            <w:r>
              <w:rPr>
                <w:rFonts w:hint="eastAsia" w:ascii="仿宋_GB2312" w:hAnsi="仿宋_GB2312" w:eastAsia="仿宋_GB2312" w:cs="仿宋_GB2312"/>
                <w:i w:val="0"/>
                <w:iCs w:val="0"/>
                <w:caps w:val="0"/>
                <w:spacing w:val="0"/>
                <w:sz w:val="28"/>
                <w:szCs w:val="28"/>
                <w:shd w:val="clear"/>
              </w:rPr>
              <w:t>实施流程粗略，未明确理赔方式、理赔地点、理赔审核期限、赔付期限等具体措施，针对性和可行性不足，对基本服务质量保障不足的</w:t>
            </w:r>
            <w:r>
              <w:rPr>
                <w:rFonts w:hint="eastAsia" w:ascii="仿宋_GB2312" w:hAnsi="仿宋_GB2312" w:eastAsia="仿宋_GB2312" w:cs="仿宋_GB2312"/>
                <w:sz w:val="28"/>
                <w:szCs w:val="28"/>
              </w:rPr>
              <w:t>，得</w:t>
            </w:r>
            <w:r>
              <w:rPr>
                <w:rFonts w:hint="eastAsia" w:ascii="Times New Roman" w:hAnsi="Times New Roman" w:eastAsia="仿宋_GB2312" w:cs="Times New Roman"/>
                <w:sz w:val="28"/>
                <w:szCs w:val="28"/>
                <w:lang w:val="en-US" w:eastAsia="zh-CN"/>
              </w:rPr>
              <w:t>5</w:t>
            </w:r>
            <w:r>
              <w:rPr>
                <w:rFonts w:hint="eastAsia" w:ascii="仿宋_GB2312" w:hAnsi="仿宋_GB2312" w:eastAsia="仿宋_GB2312" w:cs="仿宋_GB2312"/>
                <w:sz w:val="28"/>
                <w:szCs w:val="28"/>
              </w:rPr>
              <w:t>分。</w:t>
            </w:r>
          </w:p>
          <w:p w14:paraId="7CAE34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注：无相关方案的，不得分。</w:t>
            </w:r>
          </w:p>
        </w:tc>
      </w:tr>
      <w:tr w14:paraId="1E3CE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2" w:hRule="atLeast"/>
          <w:jc w:val="center"/>
        </w:trPr>
        <w:tc>
          <w:tcPr>
            <w:tcW w:w="1284" w:type="dxa"/>
            <w:vMerge w:val="continue"/>
            <w:noWrap/>
            <w:vAlign w:val="center"/>
          </w:tcPr>
          <w:p w14:paraId="25D20DF6">
            <w:pPr>
              <w:spacing w:line="240" w:lineRule="auto"/>
              <w:jc w:val="center"/>
              <w:rPr>
                <w:rFonts w:hint="eastAsia" w:ascii="仿宋_GB2312" w:hAnsi="仿宋_GB2312" w:eastAsia="仿宋_GB2312" w:cs="仿宋_GB2312"/>
                <w:sz w:val="28"/>
                <w:szCs w:val="28"/>
              </w:rPr>
            </w:pPr>
          </w:p>
        </w:tc>
        <w:tc>
          <w:tcPr>
            <w:tcW w:w="1612" w:type="dxa"/>
            <w:noWrap/>
            <w:vAlign w:val="center"/>
          </w:tcPr>
          <w:p w14:paraId="6A428AAD">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同类项目业绩</w:t>
            </w:r>
          </w:p>
          <w:p w14:paraId="4F5CCC31">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Times New Roman" w:hAnsi="Times New Roman" w:eastAsia="仿宋_GB2312" w:cs="Times New Roman"/>
                <w:sz w:val="28"/>
                <w:szCs w:val="28"/>
                <w:lang w:val="en-US" w:eastAsia="zh-CN"/>
              </w:rPr>
              <w:t>30</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p>
        </w:tc>
        <w:tc>
          <w:tcPr>
            <w:tcW w:w="6552" w:type="dxa"/>
            <w:noWrap/>
            <w:vAlign w:val="center"/>
          </w:tcPr>
          <w:p w14:paraId="68EF365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供应商自</w:t>
            </w:r>
            <w:r>
              <w:rPr>
                <w:rFonts w:hint="eastAsia" w:ascii="Times New Roman" w:hAnsi="Times New Roman" w:eastAsia="仿宋_GB2312" w:cs="Times New Roman"/>
                <w:sz w:val="28"/>
                <w:szCs w:val="28"/>
              </w:rPr>
              <w:t>2023</w:t>
            </w:r>
            <w:r>
              <w:rPr>
                <w:rFonts w:hint="eastAsia" w:ascii="仿宋_GB2312" w:hAnsi="仿宋_GB2312" w:eastAsia="仿宋_GB2312" w:cs="仿宋_GB2312"/>
                <w:sz w:val="28"/>
                <w:szCs w:val="28"/>
              </w:rPr>
              <w:t>年</w:t>
            </w:r>
            <w:r>
              <w:rPr>
                <w:rFonts w:hint="eastAsia" w:ascii="Times New Roman" w:hAnsi="Times New Roman" w:eastAsia="仿宋_GB2312" w:cs="Times New Roman"/>
                <w:sz w:val="28"/>
                <w:szCs w:val="28"/>
              </w:rPr>
              <w:t>1</w:t>
            </w:r>
            <w:r>
              <w:rPr>
                <w:rFonts w:hint="eastAsia" w:ascii="仿宋_GB2312" w:hAnsi="仿宋_GB2312" w:eastAsia="仿宋_GB2312" w:cs="仿宋_GB2312"/>
                <w:sz w:val="28"/>
                <w:szCs w:val="28"/>
              </w:rPr>
              <w:t>月</w:t>
            </w:r>
            <w:r>
              <w:rPr>
                <w:rFonts w:hint="eastAsia" w:ascii="Times New Roman" w:hAnsi="Times New Roman" w:eastAsia="仿宋_GB2312" w:cs="Times New Roman"/>
                <w:sz w:val="28"/>
                <w:szCs w:val="28"/>
              </w:rPr>
              <w:t>1</w:t>
            </w:r>
            <w:r>
              <w:rPr>
                <w:rFonts w:hint="eastAsia" w:ascii="仿宋_GB2312" w:hAnsi="仿宋_GB2312" w:eastAsia="仿宋_GB2312" w:cs="仿宋_GB2312"/>
                <w:sz w:val="28"/>
                <w:szCs w:val="28"/>
              </w:rPr>
              <w:t>日以来（以合同生效时间为准）供应商所属总公司或总公司下属各分支机构承接过的同类项目业绩合同，每提供一个同类项目合同得</w:t>
            </w:r>
            <w:r>
              <w:rPr>
                <w:rFonts w:hint="eastAsia" w:ascii="Times New Roman" w:hAnsi="Times New Roman" w:eastAsia="仿宋_GB2312" w:cs="Times New Roman"/>
                <w:sz w:val="28"/>
                <w:szCs w:val="28"/>
                <w:lang w:val="en-US" w:eastAsia="zh-CN"/>
              </w:rPr>
              <w:t>6</w:t>
            </w:r>
            <w:r>
              <w:rPr>
                <w:rFonts w:hint="eastAsia" w:ascii="仿宋_GB2312" w:hAnsi="仿宋_GB2312" w:eastAsia="仿宋_GB2312" w:cs="仿宋_GB2312"/>
                <w:sz w:val="28"/>
                <w:szCs w:val="28"/>
              </w:rPr>
              <w:t>分；本项最高得</w:t>
            </w:r>
            <w:r>
              <w:rPr>
                <w:rFonts w:hint="eastAsia" w:ascii="Times New Roman" w:hAnsi="Times New Roman" w:eastAsia="仿宋_GB2312" w:cs="Times New Roman"/>
                <w:sz w:val="28"/>
                <w:szCs w:val="28"/>
                <w:lang w:val="en-US" w:eastAsia="zh-CN"/>
              </w:rPr>
              <w:t>30</w:t>
            </w:r>
            <w:r>
              <w:rPr>
                <w:rFonts w:hint="eastAsia" w:ascii="仿宋_GB2312" w:hAnsi="仿宋_GB2312" w:eastAsia="仿宋_GB2312" w:cs="仿宋_GB2312"/>
                <w:sz w:val="28"/>
                <w:szCs w:val="28"/>
              </w:rPr>
              <w:t>分。</w:t>
            </w:r>
          </w:p>
          <w:p w14:paraId="07205AB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注：①</w:t>
            </w:r>
            <w:r>
              <w:rPr>
                <w:rFonts w:hint="eastAsia" w:ascii="仿宋_GB2312" w:hAnsi="仿宋_GB2312" w:eastAsia="仿宋_GB2312" w:cs="仿宋_GB2312"/>
                <w:sz w:val="28"/>
                <w:szCs w:val="28"/>
                <w:lang w:eastAsia="zh-CN"/>
              </w:rPr>
              <w:t>“同类项目”指保险险种须包括保“团体意外险”在内的。②</w:t>
            </w:r>
            <w:r>
              <w:rPr>
                <w:rFonts w:hint="eastAsia" w:ascii="仿宋_GB2312" w:hAnsi="仿宋_GB2312" w:eastAsia="仿宋_GB2312" w:cs="仿宋_GB2312"/>
                <w:sz w:val="28"/>
                <w:szCs w:val="28"/>
              </w:rPr>
              <w:t>须提供合同</w:t>
            </w:r>
            <w:r>
              <w:rPr>
                <w:rFonts w:hint="eastAsia" w:ascii="仿宋_GB2312" w:hAnsi="仿宋_GB2312" w:eastAsia="仿宋_GB2312" w:cs="仿宋_GB2312"/>
                <w:sz w:val="28"/>
                <w:szCs w:val="28"/>
                <w:lang w:eastAsia="zh-CN"/>
              </w:rPr>
              <w:t>或服务协议或保单等</w:t>
            </w:r>
            <w:r>
              <w:rPr>
                <w:rFonts w:hint="eastAsia" w:ascii="仿宋_GB2312" w:hAnsi="仿宋_GB2312" w:eastAsia="仿宋_GB2312" w:cs="仿宋_GB2312"/>
                <w:sz w:val="28"/>
                <w:szCs w:val="28"/>
              </w:rPr>
              <w:t>复印件，并加盖公章。</w:t>
            </w:r>
          </w:p>
        </w:tc>
      </w:tr>
      <w:tr w14:paraId="2744A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35" w:hRule="atLeast"/>
          <w:jc w:val="center"/>
        </w:trPr>
        <w:tc>
          <w:tcPr>
            <w:tcW w:w="1284" w:type="dxa"/>
            <w:vMerge w:val="continue"/>
            <w:noWrap/>
            <w:vAlign w:val="center"/>
          </w:tcPr>
          <w:p w14:paraId="6524C7F3">
            <w:pPr>
              <w:spacing w:line="240" w:lineRule="auto"/>
              <w:jc w:val="center"/>
              <w:rPr>
                <w:rFonts w:hint="eastAsia" w:ascii="仿宋_GB2312" w:hAnsi="仿宋_GB2312" w:eastAsia="仿宋_GB2312" w:cs="仿宋_GB2312"/>
                <w:sz w:val="28"/>
                <w:szCs w:val="28"/>
              </w:rPr>
            </w:pPr>
          </w:p>
        </w:tc>
        <w:tc>
          <w:tcPr>
            <w:tcW w:w="1612" w:type="dxa"/>
            <w:noWrap/>
            <w:vAlign w:val="center"/>
          </w:tcPr>
          <w:p w14:paraId="25C8E696">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客户服务评价（依据提供的同类项目业绩的业主评价）</w:t>
            </w:r>
          </w:p>
          <w:p w14:paraId="12CBB50E">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Times New Roman" w:hAnsi="Times New Roman" w:eastAsia="仿宋_GB2312" w:cs="Times New Roman"/>
                <w:sz w:val="28"/>
                <w:szCs w:val="28"/>
                <w:lang w:val="en-US" w:eastAsia="zh-CN"/>
              </w:rPr>
              <w:t>10</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p>
        </w:tc>
        <w:tc>
          <w:tcPr>
            <w:tcW w:w="6552" w:type="dxa"/>
            <w:noWrap/>
            <w:vAlign w:val="center"/>
          </w:tcPr>
          <w:p w14:paraId="45C69B7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每提供一份</w:t>
            </w:r>
            <w:r>
              <w:rPr>
                <w:rFonts w:hint="eastAsia" w:ascii="Times New Roman" w:hAnsi="Times New Roman" w:eastAsia="仿宋_GB2312" w:cs="Times New Roman"/>
                <w:sz w:val="28"/>
                <w:szCs w:val="28"/>
              </w:rPr>
              <w:t>2023</w:t>
            </w:r>
            <w:r>
              <w:rPr>
                <w:rFonts w:hint="eastAsia" w:ascii="仿宋_GB2312" w:hAnsi="仿宋_GB2312" w:eastAsia="仿宋_GB2312" w:cs="仿宋_GB2312"/>
                <w:sz w:val="28"/>
                <w:szCs w:val="28"/>
              </w:rPr>
              <w:t>年以来提供的同类项目业绩的评价为满意或优或优秀等正面评价的，每个用户评价得</w:t>
            </w:r>
            <w:r>
              <w:rPr>
                <w:rFonts w:hint="eastAsia" w:ascii="Times New Roman" w:hAnsi="Times New Roman" w:eastAsia="仿宋_GB2312" w:cs="Times New Roman"/>
                <w:sz w:val="28"/>
                <w:szCs w:val="28"/>
                <w:lang w:val="en-US" w:eastAsia="zh-CN"/>
              </w:rPr>
              <w:t>2</w:t>
            </w:r>
            <w:r>
              <w:rPr>
                <w:rFonts w:hint="eastAsia" w:ascii="仿宋_GB2312" w:hAnsi="仿宋_GB2312" w:eastAsia="仿宋_GB2312" w:cs="仿宋_GB2312"/>
                <w:sz w:val="28"/>
                <w:szCs w:val="28"/>
              </w:rPr>
              <w:t>分。本项最高得</w:t>
            </w:r>
            <w:r>
              <w:rPr>
                <w:rFonts w:hint="eastAsia" w:ascii="Times New Roman" w:hAnsi="Times New Roman" w:eastAsia="仿宋_GB2312" w:cs="Times New Roman"/>
                <w:sz w:val="28"/>
                <w:szCs w:val="28"/>
                <w:lang w:val="en-US" w:eastAsia="zh-CN"/>
              </w:rPr>
              <w:t>10</w:t>
            </w:r>
            <w:r>
              <w:rPr>
                <w:rFonts w:hint="eastAsia" w:ascii="仿宋_GB2312" w:hAnsi="仿宋_GB2312" w:eastAsia="仿宋_GB2312" w:cs="仿宋_GB2312"/>
                <w:sz w:val="28"/>
                <w:szCs w:val="28"/>
              </w:rPr>
              <w:t>分。</w:t>
            </w:r>
          </w:p>
          <w:p w14:paraId="504301F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注：请供应商严格按照要求提交相关证明材料，否则有可能影响评审结果。提供评价的证明文件复印件，并加盖公章。</w:t>
            </w:r>
          </w:p>
        </w:tc>
      </w:tr>
      <w:tr w14:paraId="21CBB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5" w:hRule="atLeast"/>
          <w:jc w:val="center"/>
        </w:trPr>
        <w:tc>
          <w:tcPr>
            <w:tcW w:w="1284" w:type="dxa"/>
            <w:noWrap/>
            <w:vAlign w:val="center"/>
          </w:tcPr>
          <w:p w14:paraId="4676A6E9">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价格</w:t>
            </w:r>
          </w:p>
          <w:p w14:paraId="5C92B995">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部分</w:t>
            </w:r>
          </w:p>
          <w:p w14:paraId="001ED6C5">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default" w:ascii="Times New Roman" w:hAnsi="Times New Roman" w:eastAsia="仿宋_GB2312" w:cs="Times New Roman"/>
                <w:sz w:val="28"/>
                <w:szCs w:val="28"/>
              </w:rPr>
              <w:t>10</w:t>
            </w:r>
            <w:r>
              <w:rPr>
                <w:rFonts w:hint="eastAsia" w:ascii="仿宋_GB2312" w:hAnsi="仿宋_GB2312" w:eastAsia="仿宋_GB2312" w:cs="仿宋_GB2312"/>
                <w:sz w:val="28"/>
                <w:szCs w:val="28"/>
              </w:rPr>
              <w:t>分）</w:t>
            </w:r>
          </w:p>
        </w:tc>
        <w:tc>
          <w:tcPr>
            <w:tcW w:w="1612" w:type="dxa"/>
            <w:noWrap/>
            <w:vAlign w:val="center"/>
          </w:tcPr>
          <w:p w14:paraId="113F52E1">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报价得分 </w:t>
            </w:r>
            <w:r>
              <w:rPr>
                <w:rFonts w:hint="eastAsia" w:ascii="仿宋_GB2312" w:hAnsi="仿宋_GB2312" w:eastAsia="仿宋_GB2312" w:cs="仿宋_GB2312"/>
                <w:sz w:val="28"/>
                <w:szCs w:val="28"/>
                <w:lang w:eastAsia="zh-CN"/>
              </w:rPr>
              <w:t>（</w:t>
            </w:r>
            <w:r>
              <w:rPr>
                <w:rFonts w:hint="eastAsia" w:ascii="Times New Roman" w:hAnsi="Times New Roman" w:eastAsia="仿宋_GB2312" w:cs="Times New Roman"/>
                <w:sz w:val="28"/>
                <w:szCs w:val="28"/>
              </w:rPr>
              <w:t>10</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p>
        </w:tc>
        <w:tc>
          <w:tcPr>
            <w:tcW w:w="6552" w:type="dxa"/>
            <w:noWrap/>
            <w:vAlign w:val="center"/>
          </w:tcPr>
          <w:p w14:paraId="30D0807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投标报价得分＝（评标基准价/总报价）×价格分值</w:t>
            </w:r>
            <w:r>
              <w:rPr>
                <w:rFonts w:hint="eastAsia" w:ascii="仿宋_GB2312" w:hAnsi="仿宋_GB2312" w:eastAsia="仿宋_GB2312" w:cs="仿宋_GB2312"/>
                <w:sz w:val="28"/>
                <w:szCs w:val="28"/>
                <w:lang w:eastAsia="zh-CN"/>
              </w:rPr>
              <w:t>（</w:t>
            </w:r>
            <w:r>
              <w:rPr>
                <w:rFonts w:hint="eastAsia" w:ascii="Times New Roman" w:hAnsi="Times New Roman" w:eastAsia="仿宋_GB2312" w:cs="Times New Roman"/>
                <w:sz w:val="28"/>
                <w:szCs w:val="28"/>
                <w:lang w:val="en-US" w:eastAsia="zh-CN"/>
              </w:rPr>
              <w:t>10</w:t>
            </w:r>
            <w:r>
              <w:rPr>
                <w:rFonts w:hint="eastAsia" w:ascii="仿宋_GB2312" w:hAnsi="仿宋_GB2312" w:eastAsia="仿宋_GB2312" w:cs="仿宋_GB2312"/>
                <w:sz w:val="28"/>
                <w:szCs w:val="28"/>
                <w:lang w:val="en-US" w:eastAsia="zh-CN"/>
              </w:rPr>
              <w:t>）</w:t>
            </w:r>
          </w:p>
          <w:p w14:paraId="638D75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【注：满足要求且价格最低的总报价为评标基准价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最低报价不是</w:t>
            </w:r>
            <w:r>
              <w:rPr>
                <w:rFonts w:hint="eastAsia" w:ascii="仿宋_GB2312" w:hAnsi="仿宋_GB2312" w:eastAsia="仿宋_GB2312" w:cs="仿宋_GB2312"/>
                <w:sz w:val="28"/>
                <w:szCs w:val="28"/>
                <w:lang w:eastAsia="zh-CN"/>
              </w:rPr>
              <w:t>成交</w:t>
            </w:r>
            <w:r>
              <w:rPr>
                <w:rFonts w:hint="eastAsia" w:ascii="仿宋_GB2312" w:hAnsi="仿宋_GB2312" w:eastAsia="仿宋_GB2312" w:cs="仿宋_GB2312"/>
                <w:sz w:val="28"/>
                <w:szCs w:val="28"/>
              </w:rPr>
              <w:t>的唯一依据。</w:t>
            </w:r>
          </w:p>
        </w:tc>
      </w:tr>
    </w:tbl>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right="0"/>
        <w:rPr>
          <w:rFonts w:hint="eastAsia" w:ascii="仿宋_GB2312" w:hAnsi="仿宋_GB2312" w:eastAsia="仿宋_GB2312" w:cs="仿宋_GB2312"/>
          <w:i w:val="0"/>
          <w:iCs w:val="0"/>
          <w:caps w:val="0"/>
          <w:color w:val="2B2B2B"/>
          <w:spacing w:val="0"/>
          <w:sz w:val="28"/>
          <w:szCs w:val="28"/>
          <w:shd w:val="clear" w:fill="FFFFFF"/>
          <w:lang w:val="en-US" w:eastAsia="zh-CN"/>
        </w:rPr>
      </w:pPr>
    </w:p>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E01C8">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D5B3D">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5</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6D5B3D">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5</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7736">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698C6">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11E83">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2314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2FF69"/>
    <w:multiLevelType w:val="singleLevel"/>
    <w:tmpl w:val="B0A2FF69"/>
    <w:lvl w:ilvl="0" w:tentative="0">
      <w:start w:val="5"/>
      <w:numFmt w:val="chineseCounting"/>
      <w:suff w:val="nothing"/>
      <w:lvlText w:val="%1、"/>
      <w:lvlJc w:val="left"/>
      <w:rPr>
        <w:rFonts w:hint="eastAsia"/>
      </w:rPr>
    </w:lvl>
  </w:abstractNum>
  <w:abstractNum w:abstractNumId="1">
    <w:nsid w:val="67ED5C15"/>
    <w:multiLevelType w:val="singleLevel"/>
    <w:tmpl w:val="67ED5C1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40F3F8C"/>
    <w:rsid w:val="04270380"/>
    <w:rsid w:val="09AE6AAA"/>
    <w:rsid w:val="0BB02112"/>
    <w:rsid w:val="0E4D215A"/>
    <w:rsid w:val="108C1CE9"/>
    <w:rsid w:val="14BA7970"/>
    <w:rsid w:val="1A8640B4"/>
    <w:rsid w:val="1EC341D8"/>
    <w:rsid w:val="1FFD4988"/>
    <w:rsid w:val="21AC6893"/>
    <w:rsid w:val="21F71A28"/>
    <w:rsid w:val="247033B7"/>
    <w:rsid w:val="265D76CF"/>
    <w:rsid w:val="275072F5"/>
    <w:rsid w:val="2C872D09"/>
    <w:rsid w:val="31005E85"/>
    <w:rsid w:val="326B0BD5"/>
    <w:rsid w:val="33557238"/>
    <w:rsid w:val="383F43DD"/>
    <w:rsid w:val="395437F4"/>
    <w:rsid w:val="3DBF0FE8"/>
    <w:rsid w:val="422A17C7"/>
    <w:rsid w:val="43B803F8"/>
    <w:rsid w:val="44D07056"/>
    <w:rsid w:val="4F922733"/>
    <w:rsid w:val="51043746"/>
    <w:rsid w:val="52993FA0"/>
    <w:rsid w:val="547F10FD"/>
    <w:rsid w:val="55C706E8"/>
    <w:rsid w:val="5AB36DD5"/>
    <w:rsid w:val="5F552644"/>
    <w:rsid w:val="6044285D"/>
    <w:rsid w:val="63E75D1F"/>
    <w:rsid w:val="66DC0932"/>
    <w:rsid w:val="6D104D95"/>
    <w:rsid w:val="6D665B0C"/>
    <w:rsid w:val="6DF242AC"/>
    <w:rsid w:val="6F6D6F59"/>
    <w:rsid w:val="71321BD9"/>
    <w:rsid w:val="72A40476"/>
    <w:rsid w:val="75054134"/>
    <w:rsid w:val="76F44DF2"/>
    <w:rsid w:val="7CDF5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6"/>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7"/>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标题 2 Char"/>
    <w:link w:val="3"/>
    <w:qFormat/>
    <w:uiPriority w:val="0"/>
    <w:rPr>
      <w:rFonts w:ascii="Arial" w:hAnsi="Arial" w:eastAsia="宋体" w:cs="Times New Roman"/>
      <w:b/>
      <w:bCs/>
      <w:sz w:val="32"/>
      <w:szCs w:val="32"/>
    </w:rPr>
  </w:style>
  <w:style w:type="character" w:customStyle="1" w:styleId="17">
    <w:name w:val="标题 3 Char"/>
    <w:link w:val="5"/>
    <w:qFormat/>
    <w:uiPriority w:val="0"/>
    <w:rPr>
      <w:rFonts w:eastAsia="宋体"/>
      <w:b/>
      <w:sz w:val="28"/>
    </w:rPr>
  </w:style>
  <w:style w:type="paragraph" w:styleId="18">
    <w:name w:val="List Paragraph"/>
    <w:basedOn w:val="1"/>
    <w:autoRedefine/>
    <w:qFormat/>
    <w:uiPriority w:val="34"/>
    <w:pPr>
      <w:ind w:firstLine="420" w:firstLineChars="200"/>
    </w:pPr>
    <w:rPr>
      <w:rFonts w:eastAsia="黑体"/>
      <w:bCs/>
      <w:sz w:val="30"/>
      <w:szCs w:val="30"/>
    </w:rPr>
  </w:style>
  <w:style w:type="character" w:customStyle="1" w:styleId="19">
    <w:name w:val="font51"/>
    <w:basedOn w:val="14"/>
    <w:qFormat/>
    <w:uiPriority w:val="0"/>
    <w:rPr>
      <w:rFonts w:hint="eastAsia" w:ascii="宋体" w:hAnsi="宋体" w:eastAsia="宋体" w:cs="宋体"/>
      <w:color w:val="000000"/>
      <w:sz w:val="24"/>
      <w:szCs w:val="24"/>
      <w:u w:val="none"/>
    </w:rPr>
  </w:style>
  <w:style w:type="character" w:customStyle="1" w:styleId="20">
    <w:name w:val="font6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1a7dea54-d3ba-4b64-b9ba-75a2de954541</errorID>
      <errorWord>出现</errorWord>
      <group>L1_Word</group>
      <groupName>字词问题</groupName>
      <ability>L2_Typo</ability>
      <abilityName>字词错误</abilityName>
      <candidateList>
        <item>出险</item>
      </candidateList>
      <explain>存在发音相同字词的误用。</explain>
      <paraID>32905DAD</paraID>
      <start>38</start>
      <end>40</end>
      <status>modified</status>
      <modifiedWord>出险</modifiedWord>
      <trackRevisions>false</trackRevisions>
    </reviewItem>
    <reviewItem>
      <errorID>43297475-4374-434d-909a-0c4c0b30049b</errorID>
      <errorWord>下</errorWord>
      <group>L1_Word</group>
      <groupName>字词问题</groupName>
      <ability>L2_Typo</ability>
      <abilityName>字词错误</abilityName>
      <candidateList>
        <item>线</item>
      </candidateList>
      <explain/>
      <paraID>32905DAD</paraID>
      <start>107</start>
      <end>108</end>
      <status>modified</status>
      <modifiedWord>线</modifiedWord>
      <trackRevisions>false</trackRevisions>
    </reviewItem>
    <reviewItem>
      <errorID>e5468f72-ed60-49f9-8c85-d5b2f527d5d2</errorID>
      <errorWord>简历</errorWord>
      <group>L1_Word</group>
      <groupName>字词问题</groupName>
      <ability>L2_Typo</ability>
      <abilityName>字词错误</abilityName>
      <candidateList>
        <item>建立</item>
      </candidateList>
      <explain/>
      <paraID>51E3FC6B</paraID>
      <start>30</start>
      <end>32</end>
      <status>modified</status>
      <modifiedWord>建立</modifiedWord>
      <trackRevisions>false</trackRevisions>
    </reviewItem>
    <reviewItem>
      <errorID>d4787d2f-3277-4a78-b1ea-13dc2bd6b474</errorID>
      <errorWord>(</errorWord>
      <group>L1_Format</group>
      <groupName>格式问题</groupName>
      <ability>L2_HalfPunc_CN</ability>
      <abilityName>全半角问题</abilityName>
      <candidateList>
        <item>（</item>
      </candidateList>
      <explain>文本全半角错误。</explain>
      <paraID>7CB6B730</paraID>
      <start>7</start>
      <end>8</end>
      <status>modified</status>
      <modifiedWord>（</modifiedWord>
      <trackRevisions>false</trackRevisions>
    </reviewItem>
    <reviewItem>
      <errorID>2a297654-33ae-4371-8f90-376613b14054</errorID>
      <errorWord>(</errorWord>
      <group>L1_Format</group>
      <groupName>格式问题</groupName>
      <ability>L2_HalfPunc_CN</ability>
      <abilityName>全半角问题</abilityName>
      <candidateList>
        <item>（</item>
      </candidateList>
      <explain>文本全半角错误。</explain>
      <paraID>113F52E1</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62dc8f-45c7-4d07-8b95-66f8007c8d9d}">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3030</Words>
  <Characters>3129</Characters>
  <Lines>0</Lines>
  <Paragraphs>0</Paragraphs>
  <TotalTime>0</TotalTime>
  <ScaleCrop>false</ScaleCrop>
  <LinksUpToDate>false</LinksUpToDate>
  <CharactersWithSpaces>3149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陈贤聪</cp:lastModifiedBy>
  <dcterms:modified xsi:type="dcterms:W3CDTF">2026-09-07T02:05:22Z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0078322C9F994E56A3840D7AAA500C19_11</vt:lpwstr>
  </property>
  <property fmtid="{D5CDD505-2E9C-101B-9397-08002B2CF9AE}" pid="4" name="KSOTemplateDocerSaveRecord">
    <vt:lpwstr>eyJoZGlkIjoiMDQ2ODhmOTJkMGU1M2ZjNTUxYjlmYjI3Y2I3ZDU5ZjgiLCJ1c2VySWQiOiIxNzgyMDQ5Njg3In0=</vt:lpwstr>
  </property>
</Properties>
</file>