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854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rPr>
          <w:rFonts w:hint="eastAsia" w:ascii="Times New Roman" w:hAnsi="Times New Roman" w:eastAsia="微软雅黑" w:cs="微软雅黑"/>
          <w:i w:val="0"/>
          <w:iCs w:val="0"/>
          <w:caps w:val="0"/>
          <w:color w:val="2B2B2B"/>
          <w:spacing w:val="0"/>
          <w:sz w:val="24"/>
          <w:szCs w:val="24"/>
          <w:shd w:val="clear" w:fill="FFFFFF"/>
        </w:rPr>
      </w:pPr>
      <w:r>
        <w:rPr>
          <w:rFonts w:hint="eastAsia" w:ascii="Times New Roman" w:hAnsi="Times New Roman" w:eastAsia="微软雅黑" w:cs="微软雅黑"/>
          <w:i w:val="0"/>
          <w:iCs w:val="0"/>
          <w:caps w:val="0"/>
          <w:color w:val="2B2B2B"/>
          <w:spacing w:val="0"/>
          <w:sz w:val="24"/>
          <w:szCs w:val="24"/>
          <w:shd w:val="clear" w:fill="FFFFFF"/>
        </w:rPr>
        <w:t>附件1</w:t>
      </w:r>
    </w:p>
    <w:p w14:paraId="5A2AB87B">
      <w:pPr>
        <w:spacing w:line="480" w:lineRule="exact"/>
        <w:jc w:val="center"/>
        <w:rPr>
          <w:rFonts w:hint="eastAsia" w:ascii="Times New Roman" w:hAnsi="Times New Roman" w:eastAsia="微软雅黑" w:cs="微软雅黑"/>
          <w:b/>
          <w:color w:val="auto"/>
          <w:sz w:val="28"/>
          <w:szCs w:val="28"/>
          <w:lang w:val="en-US" w:eastAsia="zh-CN"/>
        </w:rPr>
      </w:pPr>
      <w:r>
        <w:rPr>
          <w:rFonts w:hint="eastAsia" w:ascii="Times New Roman" w:hAnsi="Times New Roman" w:eastAsia="微软雅黑" w:cs="微软雅黑"/>
          <w:b/>
          <w:color w:val="auto"/>
          <w:sz w:val="28"/>
          <w:szCs w:val="28"/>
          <w:lang w:val="en-US" w:eastAsia="zh-CN"/>
        </w:rPr>
        <w:t>项目需求书</w:t>
      </w:r>
    </w:p>
    <w:p w14:paraId="275D203D">
      <w:pPr>
        <w:pStyle w:val="18"/>
        <w:widowControl/>
        <w:numPr>
          <w:ilvl w:val="0"/>
          <w:numId w:val="1"/>
        </w:numPr>
        <w:spacing w:line="360" w:lineRule="auto"/>
        <w:ind w:firstLineChars="0"/>
        <w:jc w:val="left"/>
        <w:rPr>
          <w:rFonts w:hint="eastAsia" w:ascii="Times New Roman" w:hAnsi="Times New Roman" w:eastAsia="微软雅黑" w:cs="微软雅黑"/>
          <w:b/>
          <w:bCs w:val="0"/>
          <w:color w:val="auto"/>
          <w:kern w:val="2"/>
          <w:sz w:val="24"/>
          <w:szCs w:val="24"/>
          <w:lang w:val="en-US" w:eastAsia="zh-CN" w:bidi="ar-SA"/>
        </w:rPr>
      </w:pPr>
      <w:r>
        <w:rPr>
          <w:rFonts w:hint="eastAsia" w:ascii="Times New Roman" w:hAnsi="Times New Roman" w:eastAsia="微软雅黑" w:cs="微软雅黑"/>
          <w:b/>
          <w:bCs w:val="0"/>
          <w:color w:val="auto"/>
          <w:kern w:val="2"/>
          <w:sz w:val="24"/>
          <w:szCs w:val="24"/>
          <w:lang w:val="en-US" w:eastAsia="zh-CN" w:bidi="ar-SA"/>
        </w:rPr>
        <w:t>项目基本情况</w:t>
      </w:r>
    </w:p>
    <w:tbl>
      <w:tblPr>
        <w:tblStyle w:val="13"/>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0"/>
        <w:gridCol w:w="5723"/>
      </w:tblGrid>
      <w:tr w14:paraId="02A8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jc w:val="center"/>
        </w:trPr>
        <w:tc>
          <w:tcPr>
            <w:tcW w:w="3230" w:type="dxa"/>
          </w:tcPr>
          <w:p w14:paraId="66EAFF37">
            <w:pPr>
              <w:spacing w:line="360" w:lineRule="auto"/>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项目名称</w:t>
            </w:r>
          </w:p>
        </w:tc>
        <w:tc>
          <w:tcPr>
            <w:tcW w:w="5723" w:type="dxa"/>
          </w:tcPr>
          <w:p w14:paraId="006DFF07">
            <w:pPr>
              <w:spacing w:line="360" w:lineRule="auto"/>
              <w:jc w:val="center"/>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中山市口腔医院2026学年中山市国家监测点学校监测与干预日程餐食供应项目</w:t>
            </w:r>
          </w:p>
        </w:tc>
      </w:tr>
      <w:tr w14:paraId="3799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230" w:type="dxa"/>
          </w:tcPr>
          <w:p w14:paraId="44ECE8B7">
            <w:pPr>
              <w:spacing w:line="360" w:lineRule="auto"/>
              <w:jc w:val="center"/>
              <w:rPr>
                <w:rFonts w:hint="eastAsia" w:ascii="Times New Roman" w:hAnsi="Times New Roman" w:eastAsia="微软雅黑" w:cs="微软雅黑"/>
                <w:sz w:val="24"/>
                <w:szCs w:val="24"/>
                <w:lang w:eastAsia="zh-CN"/>
              </w:rPr>
            </w:pPr>
            <w:r>
              <w:rPr>
                <w:rFonts w:hint="eastAsia" w:ascii="Times New Roman" w:hAnsi="Times New Roman" w:eastAsia="微软雅黑" w:cs="微软雅黑"/>
                <w:sz w:val="24"/>
                <w:szCs w:val="24"/>
                <w:lang w:eastAsia="zh-CN"/>
              </w:rPr>
              <w:t>采购预算金额</w:t>
            </w:r>
          </w:p>
        </w:tc>
        <w:tc>
          <w:tcPr>
            <w:tcW w:w="5723" w:type="dxa"/>
          </w:tcPr>
          <w:p w14:paraId="4D49B931">
            <w:pPr>
              <w:spacing w:line="360" w:lineRule="auto"/>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lang w:val="en-US" w:eastAsia="zh-CN"/>
              </w:rPr>
              <w:t>35000元</w:t>
            </w:r>
          </w:p>
        </w:tc>
      </w:tr>
      <w:tr w14:paraId="21E5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953" w:type="dxa"/>
            <w:gridSpan w:val="2"/>
          </w:tcPr>
          <w:p w14:paraId="7B24291C">
            <w:pPr>
              <w:spacing w:line="360" w:lineRule="auto"/>
              <w:jc w:val="center"/>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b/>
                <w:bCs/>
                <w:color w:val="FF0000"/>
                <w:sz w:val="24"/>
                <w:szCs w:val="24"/>
                <w:lang w:val="en-US" w:eastAsia="zh-CN"/>
              </w:rPr>
              <w:t>供应商报价不得超过“</w:t>
            </w:r>
            <w:r>
              <w:rPr>
                <w:rFonts w:hint="eastAsia" w:eastAsia="微软雅黑" w:cs="微软雅黑"/>
                <w:b/>
                <w:bCs/>
                <w:color w:val="FF0000"/>
                <w:sz w:val="24"/>
                <w:szCs w:val="24"/>
                <w:lang w:val="en-US" w:eastAsia="zh-CN"/>
              </w:rPr>
              <w:t>单价</w:t>
            </w:r>
            <w:r>
              <w:rPr>
                <w:rFonts w:hint="eastAsia" w:ascii="Times New Roman" w:hAnsi="Times New Roman" w:eastAsia="微软雅黑" w:cs="微软雅黑"/>
                <w:b/>
                <w:bCs/>
                <w:color w:val="FF0000"/>
                <w:sz w:val="24"/>
                <w:szCs w:val="24"/>
                <w:lang w:val="en-US" w:eastAsia="zh-CN"/>
              </w:rPr>
              <w:t>报价最高限价”，否则视为无效报价。</w:t>
            </w:r>
          </w:p>
        </w:tc>
      </w:tr>
    </w:tbl>
    <w:p w14:paraId="2A81CF6C">
      <w:pPr>
        <w:pStyle w:val="18"/>
        <w:widowControl/>
        <w:numPr>
          <w:ilvl w:val="0"/>
          <w:numId w:val="1"/>
        </w:numPr>
        <w:spacing w:line="360" w:lineRule="auto"/>
        <w:ind w:firstLineChars="0"/>
        <w:jc w:val="left"/>
        <w:rPr>
          <w:rFonts w:hint="eastAsia" w:ascii="Times New Roman" w:hAnsi="Times New Roman" w:eastAsia="微软雅黑" w:cs="微软雅黑"/>
          <w:b/>
          <w:bCs w:val="0"/>
          <w:color w:val="auto"/>
          <w:kern w:val="2"/>
          <w:sz w:val="24"/>
          <w:szCs w:val="24"/>
          <w:lang w:val="en-US" w:eastAsia="zh-CN" w:bidi="ar-SA"/>
        </w:rPr>
      </w:pPr>
      <w:r>
        <w:rPr>
          <w:rFonts w:hint="eastAsia" w:ascii="Times New Roman" w:hAnsi="Times New Roman" w:eastAsia="微软雅黑" w:cs="微软雅黑"/>
          <w:b/>
          <w:bCs w:val="0"/>
          <w:color w:val="auto"/>
          <w:kern w:val="2"/>
          <w:sz w:val="24"/>
          <w:szCs w:val="24"/>
          <w:lang w:val="en-US" w:eastAsia="zh-CN" w:bidi="ar-SA"/>
        </w:rPr>
        <w:t>采购需求</w:t>
      </w:r>
    </w:p>
    <w:p w14:paraId="69CB632E">
      <w:pPr>
        <w:numPr>
          <w:ilvl w:val="0"/>
          <w:numId w:val="2"/>
        </w:numPr>
        <w:spacing w:line="360" w:lineRule="auto"/>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采购项目需实现的功能和目标：</w:t>
      </w:r>
    </w:p>
    <w:p w14:paraId="7AC70B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用于解决2026年中山市学生常见病和健康影响因素监测与干预工作项目的体检队和工作人员的</w:t>
      </w:r>
      <w:r>
        <w:rPr>
          <w:rFonts w:hint="eastAsia" w:eastAsia="微软雅黑" w:cs="微软雅黑"/>
          <w:sz w:val="24"/>
          <w:szCs w:val="24"/>
          <w:lang w:val="en-US" w:eastAsia="zh-CN"/>
        </w:rPr>
        <w:t>用餐</w:t>
      </w:r>
      <w:r>
        <w:rPr>
          <w:rFonts w:hint="eastAsia" w:ascii="Times New Roman" w:hAnsi="Times New Roman" w:eastAsia="微软雅黑" w:cs="微软雅黑"/>
          <w:sz w:val="24"/>
          <w:szCs w:val="24"/>
        </w:rPr>
        <w:t>问题</w:t>
      </w:r>
      <w:bookmarkStart w:id="0" w:name="_GoBack"/>
      <w:bookmarkEnd w:id="0"/>
    </w:p>
    <w:p w14:paraId="6157149C">
      <w:pPr>
        <w:spacing w:line="360" w:lineRule="auto"/>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w:t>
      </w:r>
      <w:r>
        <w:rPr>
          <w:rFonts w:hint="eastAsia" w:ascii="Times New Roman" w:hAnsi="Times New Roman" w:eastAsia="微软雅黑" w:cs="微软雅黑"/>
          <w:sz w:val="24"/>
          <w:szCs w:val="24"/>
          <w:lang w:eastAsia="zh-CN"/>
        </w:rPr>
        <w:t>二</w:t>
      </w:r>
      <w:r>
        <w:rPr>
          <w:rFonts w:hint="eastAsia" w:ascii="Times New Roman" w:hAnsi="Times New Roman" w:eastAsia="微软雅黑" w:cs="微软雅黑"/>
          <w:sz w:val="24"/>
          <w:szCs w:val="24"/>
        </w:rPr>
        <w:t>）采购标的汇总表</w:t>
      </w:r>
    </w:p>
    <w:tbl>
      <w:tblPr>
        <w:tblStyle w:val="12"/>
        <w:tblW w:w="9058"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4916"/>
        <w:gridCol w:w="1684"/>
        <w:gridCol w:w="1408"/>
      </w:tblGrid>
      <w:tr w14:paraId="746C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0" w:type="dxa"/>
            <w:shd w:val="clear" w:color="auto" w:fill="FFFFFF"/>
            <w:tcMar>
              <w:top w:w="0" w:type="dxa"/>
              <w:right w:w="0" w:type="dxa"/>
            </w:tcMar>
            <w:vAlign w:val="center"/>
          </w:tcPr>
          <w:p w14:paraId="26B972D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微软雅黑" w:cs="微软雅黑"/>
                <w:color w:val="000000" w:themeColor="text1"/>
                <w:kern w:val="0"/>
                <w:sz w:val="24"/>
                <w:szCs w:val="24"/>
                <w14:textFill>
                  <w14:solidFill>
                    <w14:schemeClr w14:val="tx1"/>
                  </w14:solidFill>
                </w14:textFill>
              </w:rPr>
            </w:pPr>
            <w:r>
              <w:rPr>
                <w:rFonts w:hint="eastAsia" w:ascii="Times New Roman" w:hAnsi="Times New Roman" w:eastAsia="微软雅黑" w:cs="微软雅黑"/>
                <w:color w:val="000000" w:themeColor="text1"/>
                <w:kern w:val="0"/>
                <w:sz w:val="24"/>
                <w:szCs w:val="24"/>
                <w14:textFill>
                  <w14:solidFill>
                    <w14:schemeClr w14:val="tx1"/>
                  </w14:solidFill>
                </w14:textFill>
              </w:rPr>
              <w:t>序号</w:t>
            </w:r>
          </w:p>
        </w:tc>
        <w:tc>
          <w:tcPr>
            <w:tcW w:w="4916" w:type="dxa"/>
            <w:shd w:val="clear" w:color="auto" w:fill="FFFFFF"/>
            <w:tcMar>
              <w:top w:w="0" w:type="dxa"/>
              <w:right w:w="0" w:type="dxa"/>
            </w:tcMar>
            <w:vAlign w:val="center"/>
          </w:tcPr>
          <w:p w14:paraId="0EA02EE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微软雅黑" w:cs="微软雅黑"/>
                <w:color w:val="000000" w:themeColor="text1"/>
                <w:kern w:val="0"/>
                <w:sz w:val="24"/>
                <w:szCs w:val="24"/>
                <w14:textFill>
                  <w14:solidFill>
                    <w14:schemeClr w14:val="tx1"/>
                  </w14:solidFill>
                </w14:textFill>
              </w:rPr>
            </w:pPr>
            <w:r>
              <w:rPr>
                <w:rFonts w:hint="eastAsia" w:ascii="Times New Roman" w:hAnsi="Times New Roman" w:eastAsia="微软雅黑" w:cs="微软雅黑"/>
                <w:color w:val="000000" w:themeColor="text1"/>
                <w:kern w:val="0"/>
                <w:sz w:val="24"/>
                <w:szCs w:val="24"/>
                <w:lang w:eastAsia="zh-CN"/>
                <w14:textFill>
                  <w14:solidFill>
                    <w14:schemeClr w14:val="tx1"/>
                  </w14:solidFill>
                </w14:textFill>
              </w:rPr>
              <w:t>标的</w:t>
            </w:r>
            <w:r>
              <w:rPr>
                <w:rFonts w:hint="eastAsia" w:ascii="Times New Roman" w:hAnsi="Times New Roman" w:eastAsia="微软雅黑" w:cs="微软雅黑"/>
                <w:color w:val="000000" w:themeColor="text1"/>
                <w:kern w:val="0"/>
                <w:sz w:val="24"/>
                <w:szCs w:val="24"/>
                <w14:textFill>
                  <w14:solidFill>
                    <w14:schemeClr w14:val="tx1"/>
                  </w14:solidFill>
                </w14:textFill>
              </w:rPr>
              <w:t>名称</w:t>
            </w:r>
          </w:p>
        </w:tc>
        <w:tc>
          <w:tcPr>
            <w:tcW w:w="1684" w:type="dxa"/>
            <w:shd w:val="clear" w:color="auto" w:fill="FFFFFF"/>
            <w:tcMar>
              <w:top w:w="0" w:type="dxa"/>
              <w:right w:w="0" w:type="dxa"/>
            </w:tcMar>
            <w:vAlign w:val="center"/>
          </w:tcPr>
          <w:p w14:paraId="1C11DDE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微软雅黑" w:cs="微软雅黑"/>
                <w:color w:val="000000" w:themeColor="text1"/>
                <w:kern w:val="0"/>
                <w:sz w:val="24"/>
                <w:szCs w:val="24"/>
                <w14:textFill>
                  <w14:solidFill>
                    <w14:schemeClr w14:val="tx1"/>
                  </w14:solidFill>
                </w14:textFill>
              </w:rPr>
            </w:pPr>
            <w:r>
              <w:rPr>
                <w:rFonts w:hint="eastAsia" w:ascii="Times New Roman" w:hAnsi="Times New Roman" w:eastAsia="微软雅黑" w:cs="微软雅黑"/>
                <w:color w:val="000000" w:themeColor="text1"/>
                <w:kern w:val="0"/>
                <w:sz w:val="24"/>
                <w:szCs w:val="24"/>
                <w14:textFill>
                  <w14:solidFill>
                    <w14:schemeClr w14:val="tx1"/>
                  </w14:solidFill>
                </w14:textFill>
              </w:rPr>
              <w:t>计量单位</w:t>
            </w:r>
          </w:p>
        </w:tc>
        <w:tc>
          <w:tcPr>
            <w:tcW w:w="1408" w:type="dxa"/>
            <w:shd w:val="clear" w:color="auto" w:fill="FFFFFF"/>
            <w:tcMar>
              <w:top w:w="0" w:type="dxa"/>
              <w:right w:w="0" w:type="dxa"/>
            </w:tcMar>
            <w:vAlign w:val="center"/>
          </w:tcPr>
          <w:p w14:paraId="3E44F15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微软雅黑" w:cs="微软雅黑"/>
                <w:color w:val="000000" w:themeColor="text1"/>
                <w:kern w:val="0"/>
                <w:sz w:val="24"/>
                <w:szCs w:val="24"/>
                <w14:textFill>
                  <w14:solidFill>
                    <w14:schemeClr w14:val="tx1"/>
                  </w14:solidFill>
                </w14:textFill>
              </w:rPr>
            </w:pPr>
            <w:r>
              <w:rPr>
                <w:rFonts w:hint="eastAsia" w:ascii="Times New Roman" w:hAnsi="Times New Roman" w:eastAsia="微软雅黑" w:cs="微软雅黑"/>
                <w:color w:val="000000" w:themeColor="text1"/>
                <w:kern w:val="0"/>
                <w:sz w:val="24"/>
                <w:szCs w:val="24"/>
                <w14:textFill>
                  <w14:solidFill>
                    <w14:schemeClr w14:val="tx1"/>
                  </w14:solidFill>
                </w14:textFill>
              </w:rPr>
              <w:t>数量</w:t>
            </w:r>
          </w:p>
        </w:tc>
      </w:tr>
      <w:tr w14:paraId="74E7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050" w:type="dxa"/>
            <w:shd w:val="clear" w:color="auto" w:fill="FFFFFF"/>
            <w:tcMar>
              <w:top w:w="0" w:type="dxa"/>
              <w:right w:w="0" w:type="dxa"/>
            </w:tcMar>
            <w:vAlign w:val="center"/>
          </w:tcPr>
          <w:p w14:paraId="02E24AA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微软雅黑" w:cs="微软雅黑"/>
                <w:color w:val="auto"/>
                <w:kern w:val="0"/>
                <w:sz w:val="24"/>
                <w:szCs w:val="24"/>
                <w:lang w:val="en-US" w:eastAsia="zh-CN"/>
              </w:rPr>
            </w:pPr>
            <w:r>
              <w:rPr>
                <w:rFonts w:hint="eastAsia" w:ascii="Times New Roman" w:hAnsi="Times New Roman" w:eastAsia="微软雅黑" w:cs="微软雅黑"/>
                <w:color w:val="auto"/>
                <w:kern w:val="0"/>
                <w:sz w:val="24"/>
                <w:szCs w:val="24"/>
                <w:lang w:val="en-US" w:eastAsia="zh-CN"/>
              </w:rPr>
              <w:t>1</w:t>
            </w:r>
          </w:p>
        </w:tc>
        <w:tc>
          <w:tcPr>
            <w:tcW w:w="4916" w:type="dxa"/>
            <w:shd w:val="clear" w:color="auto" w:fill="FFFFFF"/>
            <w:tcMar>
              <w:top w:w="0" w:type="dxa"/>
              <w:right w:w="0" w:type="dxa"/>
            </w:tcMar>
            <w:vAlign w:val="center"/>
          </w:tcPr>
          <w:p w14:paraId="48DBDD2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微软雅黑" w:cs="微软雅黑"/>
                <w:color w:val="auto"/>
                <w:kern w:val="0"/>
                <w:sz w:val="24"/>
                <w:szCs w:val="24"/>
                <w:lang w:val="en-US" w:eastAsia="zh-CN"/>
              </w:rPr>
            </w:pPr>
            <w:r>
              <w:rPr>
                <w:rFonts w:hint="eastAsia" w:ascii="Times New Roman" w:hAnsi="Times New Roman" w:eastAsia="微软雅黑" w:cs="微软雅黑"/>
                <w:color w:val="auto"/>
                <w:kern w:val="0"/>
                <w:sz w:val="24"/>
                <w:szCs w:val="24"/>
                <w:lang w:val="en-US" w:eastAsia="zh-CN"/>
              </w:rPr>
              <w:t>中山市口腔医院2026学年中山市国家监测点学校监测与干预日程餐食供应项目</w:t>
            </w:r>
          </w:p>
        </w:tc>
        <w:tc>
          <w:tcPr>
            <w:tcW w:w="1684" w:type="dxa"/>
            <w:shd w:val="clear" w:color="auto" w:fill="FFFFFF"/>
            <w:tcMar>
              <w:top w:w="0" w:type="dxa"/>
              <w:right w:w="0" w:type="dxa"/>
            </w:tcMar>
            <w:vAlign w:val="center"/>
          </w:tcPr>
          <w:p w14:paraId="48F75AF3">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微软雅黑" w:cs="微软雅黑"/>
                <w:color w:val="auto"/>
                <w:kern w:val="0"/>
                <w:sz w:val="24"/>
                <w:szCs w:val="24"/>
                <w:lang w:val="en-US" w:eastAsia="zh-CN"/>
              </w:rPr>
            </w:pPr>
            <w:r>
              <w:rPr>
                <w:rFonts w:hint="eastAsia" w:ascii="Times New Roman" w:hAnsi="Times New Roman" w:eastAsia="微软雅黑" w:cs="微软雅黑"/>
                <w:color w:val="auto"/>
                <w:kern w:val="0"/>
                <w:sz w:val="24"/>
                <w:szCs w:val="24"/>
                <w:lang w:val="en-US" w:eastAsia="zh-CN"/>
              </w:rPr>
              <w:t>1</w:t>
            </w:r>
          </w:p>
        </w:tc>
        <w:tc>
          <w:tcPr>
            <w:tcW w:w="1408" w:type="dxa"/>
            <w:shd w:val="clear" w:color="auto" w:fill="FFFFFF"/>
            <w:tcMar>
              <w:top w:w="0" w:type="dxa"/>
              <w:right w:w="0" w:type="dxa"/>
            </w:tcMar>
            <w:vAlign w:val="center"/>
          </w:tcPr>
          <w:p w14:paraId="3A1EDB3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微软雅黑" w:cs="微软雅黑"/>
                <w:color w:val="auto"/>
                <w:kern w:val="0"/>
                <w:sz w:val="24"/>
                <w:szCs w:val="24"/>
                <w:lang w:val="en-US" w:eastAsia="zh-CN"/>
              </w:rPr>
            </w:pPr>
            <w:r>
              <w:rPr>
                <w:rFonts w:hint="eastAsia" w:ascii="Times New Roman" w:hAnsi="Times New Roman" w:eastAsia="微软雅黑" w:cs="微软雅黑"/>
                <w:color w:val="auto"/>
                <w:kern w:val="0"/>
                <w:sz w:val="24"/>
                <w:szCs w:val="24"/>
                <w:lang w:val="en-US" w:eastAsia="zh-CN"/>
              </w:rPr>
              <w:t>项</w:t>
            </w:r>
          </w:p>
        </w:tc>
      </w:tr>
      <w:tr w14:paraId="28D8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9058" w:type="dxa"/>
            <w:gridSpan w:val="4"/>
            <w:shd w:val="clear" w:color="auto" w:fill="FFFFFF"/>
            <w:tcMar>
              <w:top w:w="0" w:type="dxa"/>
              <w:right w:w="0" w:type="dxa"/>
            </w:tcMar>
            <w:vAlign w:val="center"/>
          </w:tcPr>
          <w:p w14:paraId="57B5D882">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imes New Roman" w:hAnsi="Times New Roman" w:eastAsia="微软雅黑" w:cs="微软雅黑"/>
                <w:color w:val="auto"/>
                <w:kern w:val="0"/>
                <w:sz w:val="24"/>
                <w:szCs w:val="24"/>
                <w:lang w:val="en-US" w:eastAsia="zh-CN"/>
              </w:rPr>
            </w:pPr>
            <w:r>
              <w:rPr>
                <w:rFonts w:hint="eastAsia" w:ascii="Times New Roman" w:hAnsi="Times New Roman" w:eastAsia="微软雅黑" w:cs="微软雅黑"/>
                <w:color w:val="auto"/>
                <w:kern w:val="0"/>
                <w:sz w:val="24"/>
                <w:szCs w:val="24"/>
                <w:lang w:val="en-US" w:eastAsia="zh-CN"/>
              </w:rPr>
              <w:t>报价要求：报价包括人员费用、交通配送费、打包费</w:t>
            </w:r>
            <w:r>
              <w:rPr>
                <w:rFonts w:hint="eastAsia" w:ascii="Times New Roman" w:hAnsi="Times New Roman" w:eastAsia="微软雅黑" w:cs="微软雅黑"/>
                <w:color w:val="auto"/>
                <w:kern w:val="0"/>
                <w:sz w:val="24"/>
                <w:szCs w:val="24"/>
                <w:lang w:val="en-US" w:eastAsia="zh-CN"/>
              </w:rPr>
              <w:t>、应向中华人民共和国政府缴纳的增值税和其它税等全部税费、以及履行合同所需的费用、所有风险、责任等其他一切隐含及不可预见的费用。</w:t>
            </w:r>
          </w:p>
        </w:tc>
      </w:tr>
    </w:tbl>
    <w:p w14:paraId="6D966B24">
      <w:pPr>
        <w:spacing w:line="360" w:lineRule="auto"/>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lang w:eastAsia="zh-CN"/>
        </w:rPr>
        <w:t>（三</w:t>
      </w:r>
      <w:r>
        <w:rPr>
          <w:rFonts w:hint="eastAsia" w:ascii="Times New Roman" w:hAnsi="Times New Roman" w:eastAsia="微软雅黑" w:cs="微软雅黑"/>
          <w:sz w:val="24"/>
          <w:szCs w:val="24"/>
        </w:rPr>
        <w:t>）技术要求与商务要求</w:t>
      </w:r>
    </w:p>
    <w:tbl>
      <w:tblPr>
        <w:tblStyle w:val="12"/>
        <w:tblW w:w="5200" w:type="pct"/>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7"/>
      </w:tblGrid>
      <w:tr w14:paraId="248C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3C6863DF">
            <w:pPr>
              <w:adjustRightInd w:val="0"/>
              <w:snapToGrid w:val="0"/>
              <w:ind w:right="120" w:rightChars="50"/>
              <w:jc w:val="left"/>
              <w:rPr>
                <w:rFonts w:hint="eastAsia" w:ascii="Times New Roman" w:hAnsi="Times New Roman" w:eastAsia="微软雅黑" w:cs="微软雅黑"/>
                <w:b/>
                <w:sz w:val="24"/>
                <w:szCs w:val="24"/>
                <w:lang w:eastAsia="zh-CN"/>
              </w:rPr>
            </w:pPr>
            <w:r>
              <w:rPr>
                <w:rFonts w:hint="eastAsia" w:ascii="Times New Roman" w:hAnsi="Times New Roman" w:eastAsia="微软雅黑" w:cs="微软雅黑"/>
                <w:b/>
                <w:sz w:val="24"/>
                <w:szCs w:val="24"/>
              </w:rPr>
              <w:t>一、项目概况及</w:t>
            </w:r>
            <w:r>
              <w:rPr>
                <w:rFonts w:hint="eastAsia" w:eastAsia="微软雅黑" w:cs="微软雅黑"/>
                <w:b/>
                <w:sz w:val="24"/>
                <w:szCs w:val="24"/>
                <w:lang w:val="en-US" w:eastAsia="zh-CN"/>
              </w:rPr>
              <w:t>报价要求</w:t>
            </w:r>
          </w:p>
          <w:p w14:paraId="49143F7A">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（一）项目概况</w:t>
            </w:r>
          </w:p>
          <w:p w14:paraId="022B56FA">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项目名称：中山市口腔医院2026学年中山市国家监测点学校监测与干预日程餐食供应项目</w:t>
            </w:r>
          </w:p>
          <w:p w14:paraId="71B4F783">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w:t>
            </w:r>
            <w:r>
              <w:rPr>
                <w:rFonts w:hint="eastAsia" w:eastAsia="微软雅黑" w:cs="微软雅黑"/>
                <w:sz w:val="24"/>
                <w:szCs w:val="24"/>
                <w:lang w:val="en-US" w:eastAsia="zh-CN"/>
              </w:rPr>
              <w:t>.服务内容：为参加项目的医务人员提供餐食</w:t>
            </w:r>
          </w:p>
          <w:p w14:paraId="2DD00E74">
            <w:pPr>
              <w:adjustRightInd w:val="0"/>
              <w:snapToGrid w:val="0"/>
              <w:jc w:val="left"/>
              <w:rPr>
                <w:rFonts w:hint="eastAsia" w:eastAsia="微软雅黑" w:cs="微软雅黑"/>
                <w:sz w:val="24"/>
                <w:szCs w:val="24"/>
                <w:lang w:val="en-US" w:eastAsia="zh-CN"/>
              </w:rPr>
            </w:pPr>
            <w:r>
              <w:rPr>
                <w:rFonts w:hint="eastAsia" w:ascii="Times New Roman" w:hAnsi="Times New Roman" w:eastAsia="微软雅黑" w:cs="微软雅黑"/>
                <w:sz w:val="24"/>
                <w:szCs w:val="24"/>
                <w:lang w:val="en-US" w:eastAsia="zh-CN"/>
              </w:rPr>
              <w:t>3</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服务期限：预计2026年9月7日开始，为期一个月，具体配送日期以实际监测日期为准</w:t>
            </w:r>
            <w:r>
              <w:rPr>
                <w:rFonts w:hint="eastAsia" w:eastAsia="微软雅黑" w:cs="微软雅黑"/>
                <w:sz w:val="24"/>
                <w:szCs w:val="24"/>
                <w:lang w:val="en-US" w:eastAsia="zh-CN"/>
              </w:rPr>
              <w:t>。</w:t>
            </w:r>
          </w:p>
          <w:p w14:paraId="58D2A491">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w:t>
            </w:r>
            <w:r>
              <w:rPr>
                <w:rFonts w:hint="eastAsia" w:eastAsia="微软雅黑" w:cs="微软雅黑"/>
                <w:sz w:val="24"/>
                <w:szCs w:val="24"/>
                <w:lang w:val="en-US" w:eastAsia="zh-CN"/>
              </w:rPr>
              <w:t>二</w:t>
            </w:r>
            <w:r>
              <w:rPr>
                <w:rFonts w:hint="eastAsia" w:ascii="Times New Roman" w:hAnsi="Times New Roman" w:eastAsia="微软雅黑" w:cs="微软雅黑"/>
                <w:sz w:val="24"/>
                <w:szCs w:val="24"/>
                <w:lang w:val="en-US" w:eastAsia="zh-CN"/>
              </w:rPr>
              <w:t>）报价要求</w:t>
            </w:r>
          </w:p>
          <w:p w14:paraId="2A83D0EA">
            <w:pPr>
              <w:adjustRightInd w:val="0"/>
              <w:snapToGrid w:val="0"/>
              <w:jc w:val="left"/>
              <w:rPr>
                <w:rFonts w:hint="eastAsia" w:ascii="Times New Roman" w:hAnsi="Times New Roman" w:eastAsia="微软雅黑" w:cs="微软雅黑"/>
                <w:sz w:val="24"/>
                <w:szCs w:val="24"/>
                <w:lang w:val="en-US" w:eastAsia="zh-CN"/>
              </w:rPr>
            </w:pPr>
            <w:r>
              <w:rPr>
                <w:rFonts w:hint="eastAsia" w:eastAsia="微软雅黑" w:cs="微软雅黑"/>
                <w:sz w:val="24"/>
                <w:szCs w:val="24"/>
                <w:lang w:val="en-US" w:eastAsia="zh-CN"/>
              </w:rPr>
              <w:t>1.</w:t>
            </w:r>
            <w:r>
              <w:rPr>
                <w:rFonts w:hint="eastAsia" w:ascii="Times New Roman" w:hAnsi="Times New Roman" w:eastAsia="微软雅黑" w:cs="微软雅黑"/>
                <w:sz w:val="24"/>
                <w:szCs w:val="24"/>
                <w:lang w:val="en-US" w:eastAsia="zh-CN"/>
              </w:rPr>
              <w:t>最高限价详见下表，报价高于本项目单价最高上限价的为无效报价。</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9"/>
              <w:gridCol w:w="3400"/>
            </w:tblGrid>
            <w:tr w14:paraId="38CF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399" w:type="dxa"/>
                  <w:vAlign w:val="center"/>
                </w:tcPr>
                <w:p w14:paraId="30F3698F">
                  <w:pPr>
                    <w:adjustRightInd w:val="0"/>
                    <w:snapToGrid w:val="0"/>
                    <w:jc w:val="center"/>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餐别</w:t>
                  </w:r>
                </w:p>
              </w:tc>
              <w:tc>
                <w:tcPr>
                  <w:tcW w:w="3400" w:type="dxa"/>
                  <w:vAlign w:val="center"/>
                </w:tcPr>
                <w:p w14:paraId="6F4804FD">
                  <w:pPr>
                    <w:adjustRightInd w:val="0"/>
                    <w:snapToGrid w:val="0"/>
                    <w:jc w:val="center"/>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单价限价（元）</w:t>
                  </w:r>
                </w:p>
              </w:tc>
            </w:tr>
            <w:tr w14:paraId="0F75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399" w:type="dxa"/>
                  <w:vAlign w:val="center"/>
                </w:tcPr>
                <w:p w14:paraId="23B56C49">
                  <w:pPr>
                    <w:adjustRightInd w:val="0"/>
                    <w:snapToGrid w:val="0"/>
                    <w:jc w:val="center"/>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早餐</w:t>
                  </w:r>
                </w:p>
              </w:tc>
              <w:tc>
                <w:tcPr>
                  <w:tcW w:w="3400" w:type="dxa"/>
                  <w:vAlign w:val="center"/>
                </w:tcPr>
                <w:p w14:paraId="2371B8BF">
                  <w:pPr>
                    <w:adjustRightInd w:val="0"/>
                    <w:snapToGrid w:val="0"/>
                    <w:jc w:val="center"/>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7.00</w:t>
                  </w:r>
                </w:p>
              </w:tc>
            </w:tr>
            <w:tr w14:paraId="674E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3399" w:type="dxa"/>
                  <w:vAlign w:val="center"/>
                </w:tcPr>
                <w:p w14:paraId="77A6B53D">
                  <w:pPr>
                    <w:adjustRightInd w:val="0"/>
                    <w:snapToGrid w:val="0"/>
                    <w:jc w:val="center"/>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午餐</w:t>
                  </w:r>
                </w:p>
              </w:tc>
              <w:tc>
                <w:tcPr>
                  <w:tcW w:w="3400" w:type="dxa"/>
                  <w:vAlign w:val="center"/>
                </w:tcPr>
                <w:p w14:paraId="6F592990">
                  <w:pPr>
                    <w:adjustRightInd w:val="0"/>
                    <w:snapToGrid w:val="0"/>
                    <w:jc w:val="center"/>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40.00</w:t>
                  </w:r>
                </w:p>
              </w:tc>
            </w:tr>
          </w:tbl>
          <w:p w14:paraId="083EB5CE">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货币：人民币。</w:t>
            </w:r>
          </w:p>
        </w:tc>
      </w:tr>
      <w:tr w14:paraId="7DD8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9"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168ADE32">
            <w:pPr>
              <w:numPr>
                <w:ilvl w:val="0"/>
                <w:numId w:val="0"/>
              </w:numPr>
              <w:adjustRightInd w:val="0"/>
              <w:snapToGrid w:val="0"/>
              <w:ind w:right="120" w:rightChars="50"/>
              <w:jc w:val="left"/>
              <w:rPr>
                <w:rFonts w:hint="eastAsia" w:ascii="Times New Roman" w:hAnsi="Times New Roman" w:eastAsia="微软雅黑" w:cs="微软雅黑"/>
                <w:b/>
                <w:bCs/>
                <w:sz w:val="24"/>
                <w:szCs w:val="24"/>
              </w:rPr>
            </w:pPr>
            <w:r>
              <w:rPr>
                <w:rFonts w:hint="eastAsia" w:ascii="Times New Roman" w:hAnsi="Times New Roman" w:eastAsia="微软雅黑" w:cs="微软雅黑"/>
                <w:b/>
                <w:bCs/>
                <w:kern w:val="2"/>
                <w:sz w:val="24"/>
                <w:szCs w:val="24"/>
                <w:lang w:val="en-US" w:eastAsia="zh-CN" w:bidi="ar-SA"/>
              </w:rPr>
              <w:t>二、</w:t>
            </w:r>
            <w:r>
              <w:rPr>
                <w:rFonts w:hint="eastAsia" w:ascii="Times New Roman" w:hAnsi="Times New Roman" w:eastAsia="微软雅黑" w:cs="微软雅黑"/>
                <w:b/>
                <w:bCs/>
                <w:sz w:val="24"/>
                <w:szCs w:val="24"/>
              </w:rPr>
              <w:t>服务方案要求</w:t>
            </w:r>
          </w:p>
          <w:p w14:paraId="55CEE64B">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（一）配送需求</w:t>
            </w:r>
          </w:p>
          <w:p w14:paraId="22AB2A7B">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w:t>
            </w:r>
            <w:r>
              <w:rPr>
                <w:rFonts w:hint="eastAsia" w:eastAsia="微软雅黑" w:cs="微软雅黑"/>
                <w:sz w:val="24"/>
                <w:szCs w:val="24"/>
                <w:lang w:val="en-US" w:eastAsia="zh-CN"/>
              </w:rPr>
              <w:t>.</w:t>
            </w:r>
            <w:r>
              <w:rPr>
                <w:rFonts w:hint="default" w:ascii="Times New Roman" w:hAnsi="Times New Roman" w:eastAsia="微软雅黑" w:cs="微软雅黑"/>
                <w:sz w:val="24"/>
                <w:szCs w:val="24"/>
                <w:lang w:val="en-US" w:eastAsia="zh-CN"/>
              </w:rPr>
              <w:t>配送对象：</w:t>
            </w:r>
            <w:r>
              <w:rPr>
                <w:rFonts w:hint="eastAsia" w:ascii="Times New Roman" w:hAnsi="Times New Roman" w:eastAsia="微软雅黑" w:cs="微软雅黑"/>
                <w:sz w:val="24"/>
                <w:szCs w:val="24"/>
                <w:lang w:val="en-US" w:eastAsia="zh-CN"/>
              </w:rPr>
              <w:t>为参与</w:t>
            </w:r>
            <w:r>
              <w:rPr>
                <w:rFonts w:hint="default" w:ascii="Times New Roman" w:hAnsi="Times New Roman" w:eastAsia="微软雅黑" w:cs="微软雅黑"/>
                <w:sz w:val="24"/>
                <w:szCs w:val="24"/>
                <w:lang w:val="en-US" w:eastAsia="zh-CN"/>
              </w:rPr>
              <w:t>中山市口腔医院202</w:t>
            </w:r>
            <w:r>
              <w:rPr>
                <w:rFonts w:hint="eastAsia" w:ascii="Times New Roman" w:hAnsi="Times New Roman" w:eastAsia="微软雅黑" w:cs="微软雅黑"/>
                <w:sz w:val="24"/>
                <w:szCs w:val="24"/>
                <w:lang w:val="en-US" w:eastAsia="zh-CN"/>
              </w:rPr>
              <w:t>6</w:t>
            </w:r>
            <w:r>
              <w:rPr>
                <w:rFonts w:hint="default" w:ascii="Times New Roman" w:hAnsi="Times New Roman" w:eastAsia="微软雅黑" w:cs="微软雅黑"/>
                <w:sz w:val="24"/>
                <w:szCs w:val="24"/>
                <w:lang w:val="en-US" w:eastAsia="zh-CN"/>
              </w:rPr>
              <w:t>学年中山市国家监测点学校监测与干预</w:t>
            </w:r>
            <w:r>
              <w:rPr>
                <w:rFonts w:hint="eastAsia" w:ascii="Times New Roman" w:hAnsi="Times New Roman" w:eastAsia="微软雅黑" w:cs="微软雅黑"/>
                <w:sz w:val="24"/>
                <w:szCs w:val="24"/>
                <w:lang w:val="en-US" w:eastAsia="zh-CN"/>
              </w:rPr>
              <w:t>活动的我院相关医护工作人员配送早午餐</w:t>
            </w:r>
            <w:r>
              <w:rPr>
                <w:rFonts w:hint="default" w:ascii="Times New Roman" w:hAnsi="Times New Roman" w:eastAsia="微软雅黑" w:cs="微软雅黑"/>
                <w:sz w:val="24"/>
                <w:szCs w:val="24"/>
                <w:lang w:val="en-US" w:eastAsia="zh-CN"/>
              </w:rPr>
              <w:t>，</w:t>
            </w:r>
            <w:r>
              <w:rPr>
                <w:rFonts w:hint="eastAsia" w:ascii="Times New Roman" w:hAnsi="Times New Roman" w:eastAsia="微软雅黑" w:cs="微软雅黑"/>
                <w:sz w:val="24"/>
                <w:szCs w:val="24"/>
                <w:lang w:val="en-US" w:eastAsia="zh-CN"/>
              </w:rPr>
              <w:t>每日平均</w:t>
            </w:r>
            <w:r>
              <w:rPr>
                <w:rFonts w:hint="default" w:ascii="Times New Roman" w:hAnsi="Times New Roman" w:eastAsia="微软雅黑" w:cs="微软雅黑"/>
                <w:sz w:val="24"/>
                <w:szCs w:val="24"/>
                <w:lang w:val="en-US" w:eastAsia="zh-CN"/>
              </w:rPr>
              <w:t>人数约</w:t>
            </w:r>
            <w:r>
              <w:rPr>
                <w:rFonts w:hint="eastAsia" w:ascii="Times New Roman" w:hAnsi="Times New Roman" w:eastAsia="微软雅黑" w:cs="微软雅黑"/>
                <w:sz w:val="24"/>
                <w:szCs w:val="24"/>
                <w:lang w:val="en-US" w:eastAsia="zh-CN"/>
              </w:rPr>
              <w:t>为35</w:t>
            </w:r>
            <w:r>
              <w:rPr>
                <w:rFonts w:hint="default" w:ascii="Times New Roman" w:hAnsi="Times New Roman" w:eastAsia="微软雅黑" w:cs="微软雅黑"/>
                <w:sz w:val="24"/>
                <w:szCs w:val="24"/>
                <w:lang w:val="en-US" w:eastAsia="zh-CN"/>
              </w:rPr>
              <w:t>人</w:t>
            </w:r>
            <w:r>
              <w:rPr>
                <w:rFonts w:hint="eastAsia" w:ascii="Times New Roman" w:hAnsi="Times New Roman" w:eastAsia="微软雅黑" w:cs="微软雅黑"/>
                <w:sz w:val="24"/>
                <w:szCs w:val="24"/>
                <w:lang w:val="en-US" w:eastAsia="zh-CN"/>
              </w:rPr>
              <w:t>。每日实际配送数量以及地址由采购方提前一天与配送方对接</w:t>
            </w:r>
            <w:r>
              <w:rPr>
                <w:rFonts w:hint="default" w:ascii="Times New Roman" w:hAnsi="Times New Roman" w:eastAsia="微软雅黑" w:cs="微软雅黑"/>
                <w:sz w:val="24"/>
                <w:szCs w:val="24"/>
                <w:lang w:val="en-US" w:eastAsia="zh-CN"/>
              </w:rPr>
              <w:t>。</w:t>
            </w:r>
          </w:p>
          <w:p w14:paraId="6EDFEA45">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w:t>
            </w:r>
            <w:r>
              <w:rPr>
                <w:rFonts w:hint="eastAsia" w:eastAsia="微软雅黑" w:cs="微软雅黑"/>
                <w:sz w:val="24"/>
                <w:szCs w:val="24"/>
                <w:lang w:val="en-US" w:eastAsia="zh-CN"/>
              </w:rPr>
              <w:t>.</w:t>
            </w:r>
            <w:r>
              <w:rPr>
                <w:rFonts w:hint="default" w:ascii="Times New Roman" w:hAnsi="Times New Roman" w:eastAsia="微软雅黑" w:cs="微软雅黑"/>
                <w:sz w:val="24"/>
                <w:szCs w:val="24"/>
                <w:lang w:val="en-US" w:eastAsia="zh-CN"/>
              </w:rPr>
              <w:t>配送</w:t>
            </w:r>
            <w:r>
              <w:rPr>
                <w:rFonts w:hint="eastAsia" w:ascii="Times New Roman" w:hAnsi="Times New Roman" w:eastAsia="微软雅黑" w:cs="微软雅黑"/>
                <w:sz w:val="24"/>
                <w:szCs w:val="24"/>
                <w:lang w:val="en-US" w:eastAsia="zh-CN"/>
              </w:rPr>
              <w:t>时间、地点</w:t>
            </w:r>
            <w:r>
              <w:rPr>
                <w:rFonts w:hint="default" w:ascii="Times New Roman" w:hAnsi="Times New Roman" w:eastAsia="微软雅黑" w:cs="微软雅黑"/>
                <w:sz w:val="24"/>
                <w:szCs w:val="24"/>
                <w:lang w:val="en-US" w:eastAsia="zh-CN"/>
              </w:rPr>
              <w:t>：</w:t>
            </w:r>
            <w:r>
              <w:rPr>
                <w:rFonts w:hint="eastAsia" w:ascii="Times New Roman" w:hAnsi="Times New Roman" w:eastAsia="微软雅黑" w:cs="微软雅黑"/>
                <w:sz w:val="24"/>
                <w:szCs w:val="24"/>
                <w:lang w:val="en-US" w:eastAsia="zh-CN"/>
              </w:rPr>
              <w:t>早餐需于当日上午8点前送到采购方指定地点，午餐需于当日中午11点前送至采购方指定地点。每日配送地点不同，日程安排中涉及到的地点如下</w:t>
            </w:r>
            <w:r>
              <w:rPr>
                <w:rFonts w:hint="default" w:ascii="Times New Roman" w:hAnsi="Times New Roman" w:eastAsia="微软雅黑" w:cs="微软雅黑"/>
                <w:sz w:val="24"/>
                <w:szCs w:val="24"/>
                <w:lang w:val="en-US" w:eastAsia="zh-CN"/>
              </w:rPr>
              <w:t>。</w:t>
            </w:r>
          </w:p>
          <w:tbl>
            <w:tblPr>
              <w:tblStyle w:val="13"/>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8"/>
              <w:gridCol w:w="6271"/>
            </w:tblGrid>
            <w:tr w14:paraId="1F50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blHeader/>
                <w:jc w:val="center"/>
              </w:trPr>
              <w:tc>
                <w:tcPr>
                  <w:tcW w:w="2108" w:type="dxa"/>
                  <w:vAlign w:val="center"/>
                </w:tcPr>
                <w:p w14:paraId="035A320F">
                  <w:pPr>
                    <w:adjustRightInd w:val="0"/>
                    <w:snapToGrid w:val="0"/>
                    <w:jc w:val="center"/>
                    <w:rPr>
                      <w:rFonts w:hint="eastAsia" w:ascii="Times New Roman" w:hAnsi="Times New Roman" w:eastAsia="微软雅黑" w:cs="微软雅黑"/>
                      <w:sz w:val="24"/>
                      <w:szCs w:val="24"/>
                      <w:lang w:eastAsia="zh-CN"/>
                    </w:rPr>
                  </w:pPr>
                  <w:r>
                    <w:rPr>
                      <w:rFonts w:hint="eastAsia" w:ascii="Times New Roman" w:hAnsi="Times New Roman" w:eastAsia="微软雅黑" w:cs="微软雅黑"/>
                      <w:sz w:val="24"/>
                      <w:szCs w:val="24"/>
                    </w:rPr>
                    <w:t>镇街</w:t>
                  </w:r>
                  <w:r>
                    <w:rPr>
                      <w:rFonts w:hint="eastAsia" w:ascii="Times New Roman" w:hAnsi="Times New Roman" w:eastAsia="微软雅黑" w:cs="微软雅黑"/>
                      <w:sz w:val="24"/>
                      <w:szCs w:val="24"/>
                    </w:rPr>
                    <w:br w:type="textWrapping"/>
                  </w:r>
                </w:p>
              </w:tc>
              <w:tc>
                <w:tcPr>
                  <w:tcW w:w="6271" w:type="dxa"/>
                  <w:vAlign w:val="center"/>
                </w:tcPr>
                <w:p w14:paraId="0C2B612A">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学校名称</w:t>
                  </w:r>
                </w:p>
              </w:tc>
            </w:tr>
            <w:tr w14:paraId="04CA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restart"/>
                  <w:vAlign w:val="center"/>
                </w:tcPr>
                <w:p w14:paraId="12623F20">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73C7124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中山市纪雅学校</w:t>
                  </w:r>
                </w:p>
              </w:tc>
            </w:tr>
            <w:tr w14:paraId="7CF3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5D488766">
                  <w:pPr>
                    <w:adjustRightInd w:val="0"/>
                    <w:snapToGrid w:val="0"/>
                    <w:jc w:val="center"/>
                    <w:rPr>
                      <w:rFonts w:hint="eastAsia" w:ascii="Times New Roman" w:hAnsi="Times New Roman" w:eastAsia="微软雅黑" w:cs="微软雅黑"/>
                      <w:sz w:val="24"/>
                      <w:szCs w:val="24"/>
                    </w:rPr>
                  </w:pPr>
                </w:p>
              </w:tc>
              <w:tc>
                <w:tcPr>
                  <w:tcW w:w="6271" w:type="dxa"/>
                  <w:vAlign w:val="center"/>
                </w:tcPr>
                <w:p w14:paraId="110895D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广东博文学校</w:t>
                  </w:r>
                </w:p>
              </w:tc>
            </w:tr>
            <w:tr w14:paraId="104B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14A2F406">
                  <w:pPr>
                    <w:adjustRightInd w:val="0"/>
                    <w:snapToGrid w:val="0"/>
                    <w:jc w:val="center"/>
                    <w:rPr>
                      <w:rFonts w:hint="eastAsia" w:ascii="Times New Roman" w:hAnsi="Times New Roman" w:eastAsia="微软雅黑" w:cs="微软雅黑"/>
                      <w:sz w:val="24"/>
                      <w:szCs w:val="24"/>
                    </w:rPr>
                  </w:pPr>
                </w:p>
              </w:tc>
              <w:tc>
                <w:tcPr>
                  <w:tcW w:w="6271" w:type="dxa"/>
                  <w:vAlign w:val="center"/>
                </w:tcPr>
                <w:p w14:paraId="2C572E9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中山市三鑫凯茵学校</w:t>
                  </w:r>
                </w:p>
              </w:tc>
            </w:tr>
            <w:tr w14:paraId="0D3D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18537712">
                  <w:pPr>
                    <w:adjustRightInd w:val="0"/>
                    <w:snapToGrid w:val="0"/>
                    <w:jc w:val="center"/>
                    <w:rPr>
                      <w:rFonts w:hint="eastAsia" w:ascii="Times New Roman" w:hAnsi="Times New Roman" w:eastAsia="微软雅黑" w:cs="微软雅黑"/>
                      <w:sz w:val="24"/>
                      <w:szCs w:val="24"/>
                    </w:rPr>
                  </w:pPr>
                </w:p>
              </w:tc>
              <w:tc>
                <w:tcPr>
                  <w:tcW w:w="6271" w:type="dxa"/>
                  <w:vAlign w:val="center"/>
                </w:tcPr>
                <w:p w14:paraId="49FC04D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中山市火炬科学技术学校</w:t>
                  </w:r>
                </w:p>
              </w:tc>
            </w:tr>
            <w:tr w14:paraId="7A3B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7ABD9D3F">
                  <w:pPr>
                    <w:adjustRightInd w:val="0"/>
                    <w:snapToGrid w:val="0"/>
                    <w:jc w:val="center"/>
                    <w:rPr>
                      <w:rFonts w:hint="eastAsia" w:ascii="Times New Roman" w:hAnsi="Times New Roman" w:eastAsia="微软雅黑" w:cs="微软雅黑"/>
                      <w:sz w:val="24"/>
                      <w:szCs w:val="24"/>
                    </w:rPr>
                  </w:pPr>
                </w:p>
              </w:tc>
              <w:tc>
                <w:tcPr>
                  <w:tcW w:w="6271" w:type="dxa"/>
                  <w:vAlign w:val="center"/>
                </w:tcPr>
                <w:p w14:paraId="640CCEE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中山火炬高技术产业开发区第二中学</w:t>
                  </w:r>
                </w:p>
              </w:tc>
            </w:tr>
            <w:tr w14:paraId="130B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44EB9E6A">
                  <w:pPr>
                    <w:adjustRightInd w:val="0"/>
                    <w:snapToGrid w:val="0"/>
                    <w:jc w:val="center"/>
                    <w:rPr>
                      <w:rFonts w:hint="eastAsia" w:ascii="Times New Roman" w:hAnsi="Times New Roman" w:eastAsia="微软雅黑" w:cs="微软雅黑"/>
                      <w:sz w:val="24"/>
                      <w:szCs w:val="24"/>
                    </w:rPr>
                  </w:pPr>
                </w:p>
              </w:tc>
              <w:tc>
                <w:tcPr>
                  <w:tcW w:w="6271" w:type="dxa"/>
                  <w:vAlign w:val="center"/>
                </w:tcPr>
                <w:p w14:paraId="1E295648">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中山火炬高技术产业开发区第五小学</w:t>
                  </w:r>
                </w:p>
              </w:tc>
            </w:tr>
            <w:tr w14:paraId="1F14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547A6AB3">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小榄镇</w:t>
                  </w:r>
                </w:p>
              </w:tc>
              <w:tc>
                <w:tcPr>
                  <w:tcW w:w="6271" w:type="dxa"/>
                  <w:vAlign w:val="center"/>
                </w:tcPr>
                <w:p w14:paraId="3E261FED">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中山市小榄镇花城中学</w:t>
                  </w:r>
                </w:p>
              </w:tc>
            </w:tr>
            <w:tr w14:paraId="4335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7CFAEE4A">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1F9F8F6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中山市濠头中学</w:t>
                  </w:r>
                </w:p>
              </w:tc>
            </w:tr>
            <w:tr w14:paraId="0ED5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restart"/>
                  <w:vAlign w:val="center"/>
                </w:tcPr>
                <w:p w14:paraId="30BD7DD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小榄镇</w:t>
                  </w:r>
                </w:p>
              </w:tc>
              <w:tc>
                <w:tcPr>
                  <w:tcW w:w="6271" w:type="dxa"/>
                  <w:vAlign w:val="center"/>
                </w:tcPr>
                <w:p w14:paraId="4A427357">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中山市小榄镇升平小学</w:t>
                  </w:r>
                </w:p>
              </w:tc>
            </w:tr>
            <w:tr w14:paraId="0370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40ABF650">
                  <w:pPr>
                    <w:adjustRightInd w:val="0"/>
                    <w:snapToGrid w:val="0"/>
                    <w:jc w:val="center"/>
                    <w:rPr>
                      <w:rFonts w:hint="eastAsia" w:ascii="Times New Roman" w:hAnsi="Times New Roman" w:eastAsia="微软雅黑" w:cs="微软雅黑"/>
                      <w:sz w:val="24"/>
                      <w:szCs w:val="24"/>
                    </w:rPr>
                  </w:pPr>
                </w:p>
              </w:tc>
              <w:tc>
                <w:tcPr>
                  <w:tcW w:w="6271" w:type="dxa"/>
                  <w:vAlign w:val="center"/>
                </w:tcPr>
                <w:p w14:paraId="4C859B85">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中山市小榄镇联丰小学</w:t>
                  </w:r>
                </w:p>
              </w:tc>
            </w:tr>
            <w:tr w14:paraId="1BC8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4BE9C836">
                  <w:pPr>
                    <w:adjustRightInd w:val="0"/>
                    <w:snapToGrid w:val="0"/>
                    <w:jc w:val="center"/>
                    <w:rPr>
                      <w:rFonts w:hint="eastAsia" w:ascii="Times New Roman" w:hAnsi="Times New Roman" w:eastAsia="微软雅黑" w:cs="微软雅黑"/>
                      <w:sz w:val="24"/>
                      <w:szCs w:val="24"/>
                    </w:rPr>
                  </w:pPr>
                </w:p>
              </w:tc>
              <w:tc>
                <w:tcPr>
                  <w:tcW w:w="6271" w:type="dxa"/>
                  <w:vAlign w:val="center"/>
                </w:tcPr>
                <w:p w14:paraId="1B0356D7">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中山市小榄中学</w:t>
                  </w:r>
                </w:p>
              </w:tc>
            </w:tr>
            <w:tr w14:paraId="163D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6E1BA1F1">
                  <w:pPr>
                    <w:adjustRightInd w:val="0"/>
                    <w:snapToGrid w:val="0"/>
                    <w:jc w:val="center"/>
                    <w:rPr>
                      <w:rFonts w:hint="eastAsia" w:ascii="Times New Roman" w:hAnsi="Times New Roman" w:eastAsia="微软雅黑" w:cs="微软雅黑"/>
                      <w:sz w:val="24"/>
                      <w:szCs w:val="24"/>
                    </w:rPr>
                  </w:pPr>
                </w:p>
              </w:tc>
              <w:tc>
                <w:tcPr>
                  <w:tcW w:w="6271" w:type="dxa"/>
                  <w:vAlign w:val="center"/>
                </w:tcPr>
                <w:p w14:paraId="152C1B13">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中山市小榄镇华侨中学</w:t>
                  </w:r>
                </w:p>
              </w:tc>
            </w:tr>
            <w:tr w14:paraId="3C74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682706D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南朗街道</w:t>
                  </w:r>
                </w:p>
              </w:tc>
              <w:tc>
                <w:tcPr>
                  <w:tcW w:w="6271" w:type="dxa"/>
                  <w:vAlign w:val="center"/>
                </w:tcPr>
                <w:p w14:paraId="655A4EC8">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中山市南朗街道翠亨小学</w:t>
                  </w:r>
                </w:p>
              </w:tc>
            </w:tr>
            <w:tr w14:paraId="06C0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383CEC2C">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民众街道</w:t>
                  </w:r>
                </w:p>
              </w:tc>
              <w:tc>
                <w:tcPr>
                  <w:tcW w:w="6271" w:type="dxa"/>
                  <w:vAlign w:val="center"/>
                </w:tcPr>
                <w:p w14:paraId="0C1DB2DD">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中山市民众街道中心小学</w:t>
                  </w:r>
                </w:p>
              </w:tc>
            </w:tr>
            <w:tr w14:paraId="330D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4FE5B702">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阜沙镇</w:t>
                  </w:r>
                </w:p>
              </w:tc>
              <w:tc>
                <w:tcPr>
                  <w:tcW w:w="6271" w:type="dxa"/>
                  <w:vAlign w:val="center"/>
                </w:tcPr>
                <w:p w14:paraId="55A4478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中山市阜沙镇牛角初级中学</w:t>
                  </w:r>
                </w:p>
              </w:tc>
            </w:tr>
            <w:tr w14:paraId="185D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78A02F3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港口镇</w:t>
                  </w:r>
                </w:p>
              </w:tc>
              <w:tc>
                <w:tcPr>
                  <w:tcW w:w="6271" w:type="dxa"/>
                  <w:vAlign w:val="center"/>
                </w:tcPr>
                <w:p w14:paraId="07E226EF">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中山市港口镇大南中学</w:t>
                  </w:r>
                </w:p>
              </w:tc>
            </w:tr>
            <w:tr w14:paraId="1E59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6EF80810">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坦洲镇</w:t>
                  </w:r>
                </w:p>
              </w:tc>
              <w:tc>
                <w:tcPr>
                  <w:tcW w:w="6271" w:type="dxa"/>
                  <w:vAlign w:val="center"/>
                </w:tcPr>
                <w:p w14:paraId="2AA878E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中山市坦洲镇林东小学</w:t>
                  </w:r>
                </w:p>
              </w:tc>
            </w:tr>
            <w:tr w14:paraId="22A7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7400C31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西区街道</w:t>
                  </w:r>
                </w:p>
              </w:tc>
              <w:tc>
                <w:tcPr>
                  <w:tcW w:w="6271" w:type="dxa"/>
                  <w:vAlign w:val="center"/>
                </w:tcPr>
                <w:p w14:paraId="5AF663CF">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中山市西区中心小学</w:t>
                  </w:r>
                </w:p>
              </w:tc>
            </w:tr>
            <w:tr w14:paraId="5287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2912B321">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三乡镇</w:t>
                  </w:r>
                </w:p>
              </w:tc>
              <w:tc>
                <w:tcPr>
                  <w:tcW w:w="6271" w:type="dxa"/>
                  <w:vAlign w:val="center"/>
                </w:tcPr>
                <w:p w14:paraId="338DEE7A">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中山市博爱初级中学</w:t>
                  </w:r>
                </w:p>
              </w:tc>
            </w:tr>
            <w:tr w14:paraId="2115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3559E65F">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五桂山街道</w:t>
                  </w:r>
                </w:p>
              </w:tc>
              <w:tc>
                <w:tcPr>
                  <w:tcW w:w="6271" w:type="dxa"/>
                  <w:vAlign w:val="center"/>
                </w:tcPr>
                <w:p w14:paraId="23F32C1D">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中山市五桂山学校</w:t>
                  </w:r>
                </w:p>
              </w:tc>
            </w:tr>
            <w:tr w14:paraId="5181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5AA3937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三角镇</w:t>
                  </w:r>
                </w:p>
              </w:tc>
              <w:tc>
                <w:tcPr>
                  <w:tcW w:w="6271" w:type="dxa"/>
                  <w:vAlign w:val="center"/>
                </w:tcPr>
                <w:p w14:paraId="25BE8E6D">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中山市迪茵学校</w:t>
                  </w:r>
                </w:p>
              </w:tc>
            </w:tr>
            <w:tr w14:paraId="257C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61BD8D90">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br w:type="textWrapping"/>
                  </w:r>
                  <w:r>
                    <w:rPr>
                      <w:rFonts w:hint="eastAsia" w:ascii="Times New Roman" w:hAnsi="Times New Roman" w:eastAsia="微软雅黑" w:cs="微软雅黑"/>
                      <w:sz w:val="24"/>
                      <w:szCs w:val="24"/>
                    </w:rPr>
                    <w:t>东区街道</w:t>
                  </w:r>
                </w:p>
              </w:tc>
              <w:tc>
                <w:tcPr>
                  <w:tcW w:w="6271" w:type="dxa"/>
                  <w:vAlign w:val="center"/>
                </w:tcPr>
                <w:p w14:paraId="2EA91842">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中山市东区中学</w:t>
                  </w:r>
                </w:p>
              </w:tc>
            </w:tr>
            <w:tr w14:paraId="6F9F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2DEE553C">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石岐街道</w:t>
                  </w:r>
                </w:p>
              </w:tc>
              <w:tc>
                <w:tcPr>
                  <w:tcW w:w="6271" w:type="dxa"/>
                  <w:vAlign w:val="center"/>
                </w:tcPr>
                <w:p w14:paraId="46C4A34A">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中山市建勋中学</w:t>
                  </w:r>
                </w:p>
              </w:tc>
            </w:tr>
            <w:tr w14:paraId="3DB8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6532CC90">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沙溪镇</w:t>
                  </w:r>
                </w:p>
              </w:tc>
              <w:tc>
                <w:tcPr>
                  <w:tcW w:w="6271" w:type="dxa"/>
                  <w:vAlign w:val="center"/>
                </w:tcPr>
                <w:p w14:paraId="0CE12737">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中山市沙溪理工学校</w:t>
                  </w:r>
                </w:p>
              </w:tc>
            </w:tr>
            <w:tr w14:paraId="56FB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38AAC91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小榄镇</w:t>
                  </w:r>
                </w:p>
              </w:tc>
              <w:tc>
                <w:tcPr>
                  <w:tcW w:w="6271" w:type="dxa"/>
                  <w:vAlign w:val="center"/>
                </w:tcPr>
                <w:p w14:paraId="397D0822">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中山市小榄镇永宁中心幼儿园</w:t>
                  </w:r>
                </w:p>
              </w:tc>
            </w:tr>
            <w:tr w14:paraId="6279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573B143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41B33B2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中山火炬高技术产业开发区小隐幼儿园</w:t>
                  </w:r>
                </w:p>
              </w:tc>
            </w:tr>
            <w:tr w14:paraId="06BF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5E73AC18">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小榄镇</w:t>
                  </w:r>
                </w:p>
              </w:tc>
              <w:tc>
                <w:tcPr>
                  <w:tcW w:w="6271" w:type="dxa"/>
                  <w:vAlign w:val="center"/>
                </w:tcPr>
                <w:p w14:paraId="5BFC7547">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中山市小榄镇菊城幼儿园</w:t>
                  </w:r>
                </w:p>
              </w:tc>
            </w:tr>
            <w:tr w14:paraId="52CD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03754C78">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04324C1F">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中山市纪中三鑫凯茵幼儿园</w:t>
                  </w:r>
                </w:p>
              </w:tc>
            </w:tr>
            <w:tr w14:paraId="10E1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4446879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东凤镇</w:t>
                  </w:r>
                </w:p>
              </w:tc>
              <w:tc>
                <w:tcPr>
                  <w:tcW w:w="6271" w:type="dxa"/>
                  <w:vAlign w:val="center"/>
                </w:tcPr>
                <w:p w14:paraId="6CC253D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中山市东凤镇中心幼儿园</w:t>
                  </w:r>
                </w:p>
              </w:tc>
            </w:tr>
            <w:tr w14:paraId="3FE1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383413D5">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古镇镇</w:t>
                  </w:r>
                </w:p>
              </w:tc>
              <w:tc>
                <w:tcPr>
                  <w:tcW w:w="6271" w:type="dxa"/>
                  <w:vAlign w:val="center"/>
                </w:tcPr>
                <w:p w14:paraId="405054F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中山市古镇镇古三幼儿园</w:t>
                  </w:r>
                </w:p>
              </w:tc>
            </w:tr>
            <w:tr w14:paraId="6750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5DCE01BA">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石岐街道</w:t>
                  </w:r>
                </w:p>
              </w:tc>
              <w:tc>
                <w:tcPr>
                  <w:tcW w:w="6271" w:type="dxa"/>
                  <w:vAlign w:val="center"/>
                </w:tcPr>
                <w:p w14:paraId="05EDDA7D">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中山市厚兴黎桂添幼儿园</w:t>
                  </w:r>
                </w:p>
              </w:tc>
            </w:tr>
            <w:tr w14:paraId="719B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5BF2FA1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南区街道</w:t>
                  </w:r>
                </w:p>
              </w:tc>
              <w:tc>
                <w:tcPr>
                  <w:tcW w:w="6271" w:type="dxa"/>
                  <w:vAlign w:val="center"/>
                </w:tcPr>
                <w:p w14:paraId="18D8792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中山市南区第一幼儿园</w:t>
                  </w:r>
                </w:p>
              </w:tc>
            </w:tr>
            <w:tr w14:paraId="270E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090E4DF1">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0AD85670">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中山火炬职业技术学院</w:t>
                  </w:r>
                </w:p>
              </w:tc>
            </w:tr>
            <w:tr w14:paraId="6D4B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108" w:type="dxa"/>
                  <w:vAlign w:val="center"/>
                </w:tcPr>
                <w:p w14:paraId="308B8F1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石岐街道</w:t>
                  </w:r>
                </w:p>
              </w:tc>
              <w:tc>
                <w:tcPr>
                  <w:tcW w:w="6271" w:type="dxa"/>
                  <w:vAlign w:val="center"/>
                </w:tcPr>
                <w:p w14:paraId="30DBD36A">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电子科技大学中山学院</w:t>
                  </w:r>
                </w:p>
              </w:tc>
            </w:tr>
          </w:tbl>
          <w:p w14:paraId="2BF3249A">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w:t>
            </w:r>
          </w:p>
          <w:p w14:paraId="652BD6D6">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3</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配送方式：配送方需采用专用的餐品配送车辆，车辆需定期清洁消毒，配备保温、保鲜设备，确保餐品在配送过程中温度适宜，无变质、异味情况。​</w:t>
            </w:r>
          </w:p>
          <w:p w14:paraId="63CC28BD">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4</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餐品交接：配送方到达指定地点后，需与我方指定接收人进行餐品交接，核对餐品数量、种类等信息，双方确认无误后签字确认，若发现餐品数量短缺、损坏或质量问题，配送方需及时补货或更换。</w:t>
            </w:r>
          </w:p>
          <w:p w14:paraId="07835B84">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5</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厨余垃圾的处置与运输：由配送方负责处置与运输采购方用餐后产生的厨余垃圾。</w:t>
            </w:r>
          </w:p>
          <w:p w14:paraId="27C4C7E2">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（二）餐品需求​</w:t>
            </w:r>
          </w:p>
          <w:p w14:paraId="5FA5AE4A">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餐品质量与安全​</w:t>
            </w:r>
          </w:p>
          <w:p w14:paraId="425778F5">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（1）食材须新鲜、优质，禁止使用过期、变质食材，且能提供食材采购渠道证明（如供应商资质、采购凭证等），以便我方查验。​</w:t>
            </w:r>
          </w:p>
          <w:p w14:paraId="30433417">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（2）餐品制作需保证卫生，工作人员须持有效健康证上岗，制作环境需符合卫生要求。​</w:t>
            </w:r>
          </w:p>
          <w:p w14:paraId="51227C1B">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餐品种类与口味​</w:t>
            </w:r>
          </w:p>
          <w:p w14:paraId="5605E37A">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（1）配送方需于每周五前将下周菜单提前发送至我方指定联系人。</w:t>
            </w:r>
          </w:p>
          <w:p w14:paraId="5C93BDCA">
            <w:pPr>
              <w:adjustRightInd w:val="0"/>
              <w:snapToGrid w:val="0"/>
              <w:jc w:val="left"/>
              <w:rPr>
                <w:rFonts w:hint="eastAsia" w:eastAsia="微软雅黑" w:cs="微软雅黑"/>
                <w:sz w:val="24"/>
                <w:szCs w:val="24"/>
                <w:lang w:val="en-US" w:eastAsia="zh-CN"/>
              </w:rPr>
            </w:pPr>
            <w:r>
              <w:rPr>
                <w:rFonts w:hint="eastAsia" w:ascii="Times New Roman" w:hAnsi="Times New Roman" w:eastAsia="微软雅黑" w:cs="微软雅黑"/>
                <w:sz w:val="24"/>
                <w:szCs w:val="24"/>
                <w:lang w:val="en-US" w:eastAsia="zh-CN"/>
              </w:rPr>
              <w:t>（2）</w:t>
            </w:r>
            <w:r>
              <w:rPr>
                <w:rFonts w:hint="eastAsia" w:eastAsia="微软雅黑" w:cs="微软雅黑"/>
                <w:sz w:val="24"/>
                <w:szCs w:val="24"/>
                <w:lang w:val="en-US" w:eastAsia="zh-CN"/>
              </w:rPr>
              <w:t>套餐要求：</w:t>
            </w:r>
          </w:p>
          <w:p w14:paraId="47CB104E">
            <w:pPr>
              <w:adjustRightInd w:val="0"/>
              <w:snapToGrid w:val="0"/>
              <w:jc w:val="left"/>
              <w:rPr>
                <w:rFonts w:hint="default" w:eastAsia="微软雅黑" w:cs="微软雅黑"/>
                <w:sz w:val="24"/>
                <w:szCs w:val="24"/>
                <w:lang w:val="en-US" w:eastAsia="zh-CN"/>
              </w:rPr>
            </w:pPr>
            <w:r>
              <w:rPr>
                <w:rFonts w:hint="eastAsia" w:eastAsia="微软雅黑" w:cs="微软雅黑"/>
                <w:sz w:val="24"/>
                <w:szCs w:val="24"/>
                <w:lang w:val="en-US" w:eastAsia="zh-CN"/>
              </w:rPr>
              <w:t>①早餐：包括但不限于馒头、花卷、烧饼、油条、糖油饼、包子、煎饺等面点类，炒粉、炒面、玉米、番薯、豆浆、粥类、豆腐脑、馄炖、汤面类，牛奶、咸菜。</w:t>
            </w:r>
          </w:p>
          <w:p w14:paraId="3BE2297F">
            <w:pPr>
              <w:adjustRightInd w:val="0"/>
              <w:snapToGrid w:val="0"/>
              <w:jc w:val="left"/>
              <w:rPr>
                <w:rFonts w:hint="default" w:ascii="Times New Roman" w:hAnsi="Times New Roman" w:eastAsia="微软雅黑" w:cs="微软雅黑"/>
                <w:sz w:val="24"/>
                <w:szCs w:val="24"/>
                <w:lang w:val="en-US" w:eastAsia="zh-CN"/>
              </w:rPr>
            </w:pPr>
            <w:r>
              <w:rPr>
                <w:rFonts w:hint="eastAsia" w:eastAsia="微软雅黑" w:cs="微软雅黑"/>
                <w:sz w:val="24"/>
                <w:szCs w:val="24"/>
                <w:lang w:val="en-US" w:eastAsia="zh-CN"/>
              </w:rPr>
              <w:t>②午餐：</w:t>
            </w:r>
            <w:r>
              <w:rPr>
                <w:rFonts w:hint="eastAsia" w:ascii="Times New Roman" w:hAnsi="Times New Roman" w:eastAsia="微软雅黑" w:cs="微软雅黑"/>
                <w:sz w:val="24"/>
                <w:szCs w:val="24"/>
                <w:lang w:val="en-US" w:eastAsia="zh-CN"/>
              </w:rPr>
              <w:t>每种套餐由主食米饭、两荤一素、汤/水果/酸奶组成。其中每份套餐中的肉类要不少于3两。</w:t>
            </w:r>
          </w:p>
          <w:p w14:paraId="10A210E1">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（3）每日提供多种套餐选择，套餐种类不少于3种，涵盖不同口味，满足员工多样化需求。</w:t>
            </w:r>
          </w:p>
          <w:p w14:paraId="5EFB9A82">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3</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餐品分量与包装​</w:t>
            </w:r>
          </w:p>
          <w:p w14:paraId="76EBDC4E">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（1）餐品分量需充足，能满足正常员工的用餐需求，若员工普遍反映分量不足，我方有权要求配送方调整。​</w:t>
            </w:r>
          </w:p>
          <w:p w14:paraId="64FEDAA3">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（2）餐品包装需环保、卫生、密封，能有效防止餐品洒漏、变质，且包装上需清晰标注餐品名称。</w:t>
            </w:r>
          </w:p>
          <w:p w14:paraId="708202C0">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（三）服务需求​</w:t>
            </w:r>
          </w:p>
          <w:p w14:paraId="7FF3CF53">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沟通与反馈：配送方需指定专门的联系人（姓名：XXX，电话：XXX，邮箱：XXX），负责与我方对接日常配送事宜，及时响应我方的咨询、需求变更及投诉等。</w:t>
            </w:r>
          </w:p>
          <w:p w14:paraId="71902EFA">
            <w:pPr>
              <w:adjustRightInd w:val="0"/>
              <w:snapToGrid w:val="0"/>
              <w:jc w:val="left"/>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lang w:val="en-US" w:eastAsia="zh-CN"/>
              </w:rPr>
              <w:t>2</w:t>
            </w:r>
            <w:r>
              <w:rPr>
                <w:rFonts w:hint="eastAsia" w:eastAsia="微软雅黑" w:cs="微软雅黑"/>
                <w:sz w:val="24"/>
                <w:szCs w:val="24"/>
                <w:lang w:val="en-US" w:eastAsia="zh-CN"/>
              </w:rPr>
              <w:t>.</w:t>
            </w:r>
            <w:r>
              <w:rPr>
                <w:rFonts w:hint="eastAsia" w:ascii="Times New Roman" w:hAnsi="Times New Roman" w:eastAsia="微软雅黑" w:cs="微软雅黑"/>
                <w:sz w:val="24"/>
                <w:szCs w:val="24"/>
                <w:lang w:val="en-US" w:eastAsia="zh-CN"/>
              </w:rPr>
              <w:t>应急处理：若因配送方原因（如餐品质量问题、配送延迟严重等）导致员工无法正常用餐，配送方需承担相应责任，并及时采取补救措施（如重新配送、提供替代餐品等）。​</w:t>
            </w:r>
          </w:p>
        </w:tc>
      </w:tr>
      <w:tr w14:paraId="49BB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024FFF46">
            <w:pPr>
              <w:numPr>
                <w:ilvl w:val="0"/>
                <w:numId w:val="0"/>
              </w:numPr>
              <w:adjustRightInd w:val="0"/>
              <w:snapToGrid w:val="0"/>
              <w:ind w:right="120" w:rightChars="50"/>
              <w:jc w:val="left"/>
              <w:rPr>
                <w:rFonts w:hint="eastAsia" w:ascii="Times New Roman" w:hAnsi="Times New Roman" w:eastAsia="微软雅黑" w:cs="微软雅黑"/>
                <w:b/>
                <w:bCs/>
                <w:sz w:val="24"/>
                <w:szCs w:val="24"/>
              </w:rPr>
            </w:pPr>
            <w:r>
              <w:rPr>
                <w:rFonts w:hint="eastAsia" w:eastAsia="微软雅黑" w:cs="微软雅黑"/>
                <w:b/>
                <w:bCs/>
                <w:kern w:val="2"/>
                <w:sz w:val="24"/>
                <w:szCs w:val="24"/>
                <w:lang w:val="en-US" w:eastAsia="zh-CN" w:bidi="ar-SA"/>
              </w:rPr>
              <w:t>三</w:t>
            </w:r>
            <w:r>
              <w:rPr>
                <w:rFonts w:hint="eastAsia" w:ascii="Times New Roman" w:hAnsi="Times New Roman" w:eastAsia="微软雅黑" w:cs="微软雅黑"/>
                <w:b/>
                <w:bCs/>
                <w:kern w:val="2"/>
                <w:sz w:val="24"/>
                <w:szCs w:val="24"/>
                <w:lang w:val="en-US" w:eastAsia="zh-CN" w:bidi="ar-SA"/>
              </w:rPr>
              <w:t>、</w:t>
            </w:r>
            <w:r>
              <w:rPr>
                <w:rFonts w:hint="eastAsia" w:ascii="Times New Roman" w:hAnsi="Times New Roman" w:eastAsia="微软雅黑" w:cs="微软雅黑"/>
                <w:b/>
                <w:bCs/>
                <w:sz w:val="24"/>
                <w:szCs w:val="24"/>
              </w:rPr>
              <w:t>服务时间及地点</w:t>
            </w:r>
          </w:p>
          <w:p w14:paraId="2E902EE0">
            <w:pPr>
              <w:adjustRightInd w:val="0"/>
              <w:snapToGrid w:val="0"/>
              <w:jc w:val="left"/>
              <w:rPr>
                <w:rFonts w:hint="eastAsia" w:ascii="Times New Roman" w:hAnsi="Times New Roman" w:eastAsia="微软雅黑" w:cs="微软雅黑"/>
                <w:sz w:val="24"/>
                <w:szCs w:val="24"/>
              </w:rPr>
            </w:pPr>
            <w:r>
              <w:rPr>
                <w:rFonts w:hint="eastAsia" w:eastAsia="微软雅黑" w:cs="微软雅黑"/>
                <w:sz w:val="24"/>
                <w:szCs w:val="24"/>
                <w:lang w:val="en-US" w:eastAsia="zh-CN"/>
              </w:rPr>
              <w:t>1.</w:t>
            </w:r>
            <w:r>
              <w:rPr>
                <w:rFonts w:hint="eastAsia" w:ascii="Times New Roman" w:hAnsi="Times New Roman" w:eastAsia="微软雅黑" w:cs="微软雅黑"/>
                <w:sz w:val="24"/>
                <w:szCs w:val="24"/>
                <w:lang w:eastAsia="zh-CN"/>
              </w:rPr>
              <w:t>服务期：预计2026年9月7日开始，为期一个月，具体配送日期以实际监测日期为准</w:t>
            </w:r>
            <w:r>
              <w:rPr>
                <w:rFonts w:hint="eastAsia" w:eastAsia="微软雅黑" w:cs="微软雅黑"/>
                <w:sz w:val="24"/>
                <w:szCs w:val="24"/>
                <w:lang w:eastAsia="zh-CN"/>
              </w:rPr>
              <w:t>。</w:t>
            </w:r>
          </w:p>
          <w:p w14:paraId="41BAAA83">
            <w:pPr>
              <w:adjustRightInd w:val="0"/>
              <w:snapToGrid w:val="0"/>
              <w:jc w:val="left"/>
              <w:rPr>
                <w:rFonts w:hint="default" w:ascii="Times New Roman" w:hAnsi="Times New Roman" w:eastAsia="微软雅黑" w:cs="微软雅黑"/>
                <w:b/>
                <w:sz w:val="24"/>
                <w:szCs w:val="24"/>
                <w:lang w:val="en-US" w:eastAsia="zh-CN"/>
              </w:rPr>
            </w:pPr>
            <w:r>
              <w:rPr>
                <w:rFonts w:hint="eastAsia" w:eastAsia="微软雅黑" w:cs="微软雅黑"/>
                <w:sz w:val="24"/>
                <w:szCs w:val="24"/>
                <w:lang w:val="en-US" w:eastAsia="zh-CN"/>
              </w:rPr>
              <w:t>2.</w:t>
            </w:r>
            <w:r>
              <w:rPr>
                <w:rFonts w:hint="eastAsia" w:ascii="Times New Roman" w:hAnsi="Times New Roman" w:eastAsia="微软雅黑" w:cs="微软雅黑"/>
                <w:sz w:val="24"/>
                <w:szCs w:val="24"/>
                <w:lang w:val="en-US" w:eastAsia="zh-CN"/>
              </w:rPr>
              <w:t>服务地点：</w:t>
            </w:r>
            <w:r>
              <w:rPr>
                <w:rFonts w:hint="eastAsia" w:eastAsia="微软雅黑" w:cs="微软雅黑"/>
                <w:sz w:val="24"/>
                <w:szCs w:val="24"/>
                <w:lang w:val="en-US" w:eastAsia="zh-CN"/>
              </w:rPr>
              <w:t>根据采购方要求送到指定配送地点。</w:t>
            </w:r>
          </w:p>
        </w:tc>
      </w:tr>
      <w:tr w14:paraId="7806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5C85213D">
            <w:pPr>
              <w:adjustRightInd w:val="0"/>
              <w:snapToGrid w:val="0"/>
              <w:rPr>
                <w:rFonts w:hint="eastAsia" w:ascii="Times New Roman" w:hAnsi="Times New Roman" w:eastAsia="微软雅黑" w:cs="微软雅黑"/>
                <w:b/>
                <w:bCs/>
                <w:sz w:val="24"/>
                <w:szCs w:val="24"/>
              </w:rPr>
            </w:pPr>
            <w:r>
              <w:rPr>
                <w:rFonts w:hint="eastAsia" w:ascii="Times New Roman" w:hAnsi="Times New Roman" w:eastAsia="微软雅黑" w:cs="微软雅黑"/>
                <w:b/>
                <w:bCs/>
                <w:sz w:val="24"/>
                <w:szCs w:val="24"/>
              </w:rPr>
              <w:t>四、付款方式及条件：</w:t>
            </w:r>
          </w:p>
          <w:p w14:paraId="4572FB56">
            <w:pPr>
              <w:adjustRightInd w:val="0"/>
              <w:snapToGrid w:val="0"/>
              <w:jc w:val="left"/>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1.付款方式：银行转账结算。</w:t>
            </w:r>
          </w:p>
          <w:p w14:paraId="5ABB37CC">
            <w:pPr>
              <w:adjustRightInd w:val="0"/>
              <w:snapToGrid w:val="0"/>
              <w:jc w:val="left"/>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2.付款时间及条件：</w:t>
            </w:r>
          </w:p>
          <w:p w14:paraId="6B3791A7">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rPr>
              <w:t>（1）</w:t>
            </w:r>
            <w:r>
              <w:rPr>
                <w:rFonts w:hint="eastAsia" w:ascii="Times New Roman" w:hAnsi="Times New Roman" w:eastAsia="微软雅黑" w:cs="微软雅黑"/>
                <w:sz w:val="24"/>
                <w:szCs w:val="24"/>
                <w:lang w:val="en-US" w:eastAsia="zh-CN"/>
              </w:rPr>
              <w:t>款项支付</w:t>
            </w:r>
            <w:r>
              <w:rPr>
                <w:rFonts w:hint="default" w:ascii="Times New Roman" w:hAnsi="Times New Roman" w:eastAsia="微软雅黑" w:cs="微软雅黑"/>
                <w:sz w:val="24"/>
                <w:szCs w:val="24"/>
                <w:lang w:val="en-US" w:eastAsia="zh-CN"/>
              </w:rPr>
              <w:t>：</w:t>
            </w:r>
            <w:r>
              <w:rPr>
                <w:rFonts w:hint="eastAsia" w:ascii="Times New Roman" w:hAnsi="Times New Roman" w:eastAsia="微软雅黑" w:cs="微软雅黑"/>
                <w:sz w:val="24"/>
                <w:szCs w:val="24"/>
                <w:lang w:val="en-US" w:eastAsia="zh-CN"/>
              </w:rPr>
              <w:t>按实际结算</w:t>
            </w:r>
            <w:r>
              <w:rPr>
                <w:rFonts w:hint="default" w:ascii="Times New Roman" w:hAnsi="Times New Roman" w:eastAsia="微软雅黑" w:cs="微软雅黑"/>
                <w:sz w:val="24"/>
                <w:szCs w:val="24"/>
                <w:lang w:val="en-US" w:eastAsia="zh-CN"/>
              </w:rPr>
              <w:t>，采购人收到成交供应商提交的申请款项支付资料之后</w:t>
            </w:r>
            <w:r>
              <w:rPr>
                <w:rFonts w:hint="eastAsia" w:ascii="Times New Roman" w:hAnsi="Times New Roman" w:eastAsia="微软雅黑" w:cs="微软雅黑"/>
                <w:sz w:val="24"/>
                <w:szCs w:val="24"/>
                <w:lang w:val="en-US" w:eastAsia="zh-CN"/>
              </w:rPr>
              <w:t>30</w:t>
            </w:r>
            <w:r>
              <w:rPr>
                <w:rFonts w:hint="default" w:ascii="Times New Roman" w:hAnsi="Times New Roman" w:eastAsia="微软雅黑" w:cs="微软雅黑"/>
                <w:sz w:val="24"/>
                <w:szCs w:val="24"/>
                <w:lang w:val="en-US" w:eastAsia="zh-CN"/>
              </w:rPr>
              <w:t>个工作日内，采购人</w:t>
            </w:r>
            <w:r>
              <w:rPr>
                <w:rFonts w:hint="eastAsia" w:ascii="Times New Roman" w:hAnsi="Times New Roman" w:eastAsia="微软雅黑" w:cs="微软雅黑"/>
                <w:sz w:val="24"/>
                <w:szCs w:val="24"/>
                <w:lang w:val="en-US" w:eastAsia="zh-CN"/>
              </w:rPr>
              <w:t>按实际产生费用与</w:t>
            </w:r>
            <w:r>
              <w:rPr>
                <w:rFonts w:hint="default" w:ascii="Times New Roman" w:hAnsi="Times New Roman" w:eastAsia="微软雅黑" w:cs="微软雅黑"/>
                <w:sz w:val="24"/>
                <w:szCs w:val="24"/>
                <w:lang w:val="en-US" w:eastAsia="zh-CN"/>
              </w:rPr>
              <w:t>成交供应商</w:t>
            </w:r>
            <w:r>
              <w:rPr>
                <w:rFonts w:hint="eastAsia" w:ascii="Times New Roman" w:hAnsi="Times New Roman" w:eastAsia="微软雅黑" w:cs="微软雅黑"/>
                <w:sz w:val="24"/>
                <w:szCs w:val="24"/>
                <w:lang w:val="en-US" w:eastAsia="zh-CN"/>
              </w:rPr>
              <w:t>结算</w:t>
            </w:r>
            <w:r>
              <w:rPr>
                <w:rFonts w:hint="default" w:ascii="Times New Roman" w:hAnsi="Times New Roman" w:eastAsia="微软雅黑" w:cs="微软雅黑"/>
                <w:sz w:val="24"/>
                <w:szCs w:val="24"/>
                <w:lang w:val="en-US" w:eastAsia="zh-CN"/>
              </w:rPr>
              <w:t>。</w:t>
            </w:r>
          </w:p>
          <w:p w14:paraId="465E8600">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rPr>
              <w:t>（</w:t>
            </w:r>
            <w:r>
              <w:rPr>
                <w:rFonts w:hint="eastAsia" w:ascii="Times New Roman" w:hAnsi="Times New Roman" w:eastAsia="微软雅黑" w:cs="微软雅黑"/>
                <w:sz w:val="24"/>
                <w:szCs w:val="24"/>
                <w:lang w:val="en-US" w:eastAsia="zh-CN"/>
              </w:rPr>
              <w:t>2）合同的款项以人民币通过银行转账方式结算，</w:t>
            </w:r>
            <w:r>
              <w:rPr>
                <w:rFonts w:hint="eastAsia" w:ascii="Times New Roman" w:hAnsi="Times New Roman" w:eastAsia="微软雅黑" w:cs="微软雅黑"/>
                <w:sz w:val="24"/>
                <w:szCs w:val="24"/>
              </w:rPr>
              <w:t>供方</w:t>
            </w:r>
            <w:r>
              <w:rPr>
                <w:rFonts w:hint="eastAsia" w:ascii="Times New Roman" w:hAnsi="Times New Roman" w:eastAsia="微软雅黑" w:cs="微软雅黑"/>
                <w:sz w:val="24"/>
                <w:szCs w:val="24"/>
                <w:lang w:val="en-US" w:eastAsia="zh-CN"/>
              </w:rPr>
              <w:t>凭以下资料申请款项支付：</w:t>
            </w:r>
          </w:p>
          <w:p w14:paraId="49E72900">
            <w:pPr>
              <w:adjustRightInd w:val="0"/>
              <w:snapToGrid w:val="0"/>
              <w:jc w:val="left"/>
              <w:rPr>
                <w:rFonts w:hint="default" w:ascii="Times New Roman" w:hAnsi="Times New Roman" w:eastAsia="微软雅黑" w:cs="微软雅黑"/>
                <w:sz w:val="24"/>
                <w:szCs w:val="24"/>
                <w:lang w:val="en-US"/>
              </w:rPr>
            </w:pPr>
            <w:r>
              <w:rPr>
                <w:rFonts w:hint="eastAsia" w:ascii="Times New Roman" w:hAnsi="Times New Roman" w:eastAsia="微软雅黑" w:cs="微软雅黑"/>
                <w:sz w:val="24"/>
                <w:szCs w:val="24"/>
                <w:lang w:val="en-US" w:eastAsia="zh-CN"/>
              </w:rPr>
              <w:t>①合同复印件；②</w:t>
            </w:r>
            <w:r>
              <w:rPr>
                <w:rFonts w:hint="eastAsia" w:eastAsia="微软雅黑" w:cs="微软雅黑"/>
                <w:sz w:val="24"/>
                <w:szCs w:val="24"/>
                <w:lang w:val="en-US" w:eastAsia="zh-CN"/>
              </w:rPr>
              <w:t>结算清单；③</w:t>
            </w:r>
            <w:r>
              <w:rPr>
                <w:rFonts w:hint="eastAsia" w:ascii="Times New Roman" w:hAnsi="Times New Roman" w:eastAsia="微软雅黑" w:cs="微软雅黑"/>
                <w:sz w:val="24"/>
                <w:szCs w:val="24"/>
                <w:lang w:val="en-US" w:eastAsia="zh-CN"/>
              </w:rPr>
              <w:t>对应款项的正规全额发票和对应款项收据。</w:t>
            </w:r>
          </w:p>
          <w:p w14:paraId="038D29D5">
            <w:pPr>
              <w:adjustRightInd w:val="0"/>
              <w:snapToGrid w:val="0"/>
              <w:jc w:val="left"/>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lang w:val="en-US" w:eastAsia="zh-CN"/>
              </w:rPr>
              <w:t>3</w:t>
            </w:r>
            <w:r>
              <w:rPr>
                <w:rFonts w:hint="eastAsia" w:eastAsia="微软雅黑" w:cs="微软雅黑"/>
                <w:sz w:val="24"/>
                <w:szCs w:val="24"/>
                <w:lang w:val="en-US" w:eastAsia="zh-CN"/>
              </w:rPr>
              <w:t>.</w:t>
            </w:r>
            <w:r>
              <w:rPr>
                <w:rFonts w:hint="eastAsia" w:ascii="Times New Roman" w:hAnsi="Times New Roman" w:eastAsia="微软雅黑" w:cs="微软雅黑"/>
                <w:sz w:val="24"/>
                <w:szCs w:val="24"/>
              </w:rPr>
              <w:t>因采购人使用资金需要经过财务审批程序，采购人在前款规定的付款时间为向财务部门提出办理支付申请手续的时间（不含账务部门、支付部门审核的时间），在规定时间内提出支付申请手续后即视为采购人已经按期支付。</w:t>
            </w:r>
          </w:p>
          <w:p w14:paraId="0F894166">
            <w:pPr>
              <w:adjustRightInd w:val="0"/>
              <w:snapToGrid w:val="0"/>
              <w:jc w:val="left"/>
              <w:rPr>
                <w:rFonts w:hint="eastAsia" w:ascii="Times New Roman" w:hAnsi="Times New Roman" w:eastAsia="微软雅黑" w:cs="微软雅黑"/>
                <w:sz w:val="24"/>
                <w:szCs w:val="24"/>
              </w:rPr>
            </w:pPr>
            <w:r>
              <w:rPr>
                <w:rFonts w:hint="eastAsia" w:eastAsia="微软雅黑" w:cs="微软雅黑"/>
                <w:sz w:val="24"/>
                <w:szCs w:val="24"/>
                <w:lang w:val="en-US" w:eastAsia="zh-CN"/>
              </w:rPr>
              <w:t>4</w:t>
            </w:r>
            <w:r>
              <w:rPr>
                <w:rFonts w:hint="eastAsia" w:ascii="Times New Roman" w:hAnsi="Times New Roman" w:eastAsia="微软雅黑" w:cs="微软雅黑"/>
                <w:sz w:val="24"/>
                <w:szCs w:val="24"/>
              </w:rPr>
              <w:t>.成交金额包含了本项目可能涉及的一切费用</w:t>
            </w:r>
            <w:r>
              <w:rPr>
                <w:rFonts w:hint="eastAsia" w:ascii="Times New Roman" w:hAnsi="Times New Roman" w:eastAsia="微软雅黑" w:cs="微软雅黑"/>
                <w:sz w:val="24"/>
                <w:szCs w:val="24"/>
                <w:highlight w:val="none"/>
              </w:rPr>
              <w:t>，包括人员费用、交通费、住宿费、伙食费、仪器设备费及所需的一切材料费、税费及合</w:t>
            </w:r>
            <w:r>
              <w:rPr>
                <w:rFonts w:hint="eastAsia" w:ascii="Times New Roman" w:hAnsi="Times New Roman" w:eastAsia="微软雅黑" w:cs="微软雅黑"/>
                <w:sz w:val="24"/>
                <w:szCs w:val="24"/>
              </w:rPr>
              <w:t>同履行过程中不可预见费用等，需方不再支付任何其他费用。</w:t>
            </w:r>
          </w:p>
        </w:tc>
      </w:tr>
      <w:tr w14:paraId="1C10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9"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0915B23">
            <w:pPr>
              <w:adjustRightInd w:val="0"/>
              <w:snapToGrid w:val="0"/>
              <w:jc w:val="left"/>
              <w:rPr>
                <w:rFonts w:hint="eastAsia" w:ascii="Times New Roman" w:hAnsi="Times New Roman" w:eastAsia="微软雅黑" w:cs="微软雅黑"/>
                <w:b/>
                <w:bCs/>
                <w:sz w:val="24"/>
                <w:szCs w:val="24"/>
              </w:rPr>
            </w:pPr>
            <w:r>
              <w:rPr>
                <w:rFonts w:hint="eastAsia" w:eastAsia="微软雅黑" w:cs="微软雅黑"/>
                <w:b/>
                <w:bCs/>
                <w:sz w:val="24"/>
                <w:szCs w:val="24"/>
                <w:lang w:val="en-US" w:eastAsia="zh-CN"/>
              </w:rPr>
              <w:t>五</w:t>
            </w:r>
            <w:r>
              <w:rPr>
                <w:rFonts w:hint="eastAsia" w:ascii="Times New Roman" w:hAnsi="Times New Roman" w:eastAsia="微软雅黑" w:cs="微软雅黑"/>
                <w:b/>
                <w:bCs/>
                <w:sz w:val="24"/>
                <w:szCs w:val="24"/>
              </w:rPr>
              <w:t>、知识产权及保密：</w:t>
            </w:r>
          </w:p>
          <w:p w14:paraId="4BEB2C21">
            <w:pPr>
              <w:adjustRightInd w:val="0"/>
              <w:snapToGrid w:val="0"/>
              <w:ind w:right="120" w:rightChars="50"/>
              <w:rPr>
                <w:rFonts w:hint="eastAsia" w:ascii="Times New Roman" w:hAnsi="Times New Roman" w:eastAsia="微软雅黑" w:cs="微软雅黑"/>
                <w:sz w:val="24"/>
                <w:szCs w:val="24"/>
                <w:lang w:bidi="zh-CN"/>
              </w:rPr>
            </w:pPr>
            <w:r>
              <w:rPr>
                <w:rFonts w:hint="eastAsia" w:ascii="Times New Roman" w:hAnsi="Times New Roman" w:eastAsia="微软雅黑" w:cs="微软雅黑"/>
                <w:sz w:val="24"/>
                <w:szCs w:val="24"/>
                <w:lang w:bidi="zh-CN"/>
              </w:rPr>
              <w:t>1.成交供应商应保证其向采购人提供的本合同项下的货物或服务以及其中包含的任何一部分不侵犯任何第三方的作品、发明专利、商业秘密等知识产权。如因上述原因，第三方向采购人提起侵权诉讼，成交供应商负责交涉、处理并承担由此引起的全部法律及经济责任。</w:t>
            </w:r>
          </w:p>
          <w:p w14:paraId="6C8DEF14">
            <w:pPr>
              <w:adjustRightInd w:val="0"/>
              <w:snapToGrid w:val="0"/>
              <w:ind w:right="120" w:rightChars="50"/>
              <w:rPr>
                <w:rFonts w:hint="eastAsia" w:ascii="Times New Roman" w:hAnsi="Times New Roman" w:eastAsia="微软雅黑" w:cs="微软雅黑"/>
                <w:sz w:val="24"/>
                <w:szCs w:val="24"/>
                <w:lang w:bidi="zh-CN"/>
              </w:rPr>
            </w:pPr>
            <w:r>
              <w:rPr>
                <w:rFonts w:hint="eastAsia" w:ascii="Times New Roman" w:hAnsi="Times New Roman" w:eastAsia="微软雅黑" w:cs="微软雅黑"/>
                <w:sz w:val="24"/>
                <w:szCs w:val="24"/>
                <w:lang w:bidi="zh-CN"/>
              </w:rPr>
              <w:t>2.一方对另一方提供的技术资料、样件、图纸及其他与质量、技术、经营相关信息（包括但不限于价格、数量）有保密义务。双方应确保其人员及相关协作方承担保密义务。</w:t>
            </w:r>
          </w:p>
          <w:p w14:paraId="590A863D">
            <w:pPr>
              <w:adjustRightInd w:val="0"/>
              <w:snapToGrid w:val="0"/>
              <w:ind w:right="120" w:rightChars="50"/>
              <w:rPr>
                <w:rFonts w:hint="eastAsia" w:ascii="Times New Roman" w:hAnsi="Times New Roman" w:eastAsia="微软雅黑" w:cs="微软雅黑"/>
                <w:sz w:val="24"/>
                <w:szCs w:val="24"/>
                <w:lang w:bidi="zh-CN"/>
              </w:rPr>
            </w:pPr>
            <w:r>
              <w:rPr>
                <w:rFonts w:hint="eastAsia" w:ascii="Times New Roman" w:hAnsi="Times New Roman" w:eastAsia="微软雅黑" w:cs="微软雅黑"/>
                <w:sz w:val="24"/>
                <w:szCs w:val="24"/>
                <w:lang w:bidi="zh-CN"/>
              </w:rPr>
              <w:t>3.成交供应商保证，成交供应商依据本合同提供的货物或服务以及与之相关的软件和技术资料，成交供应商均已得到有关知识产权的权利人的合法授权，如发生涉及到专利权、著作权、商标权等争议，成交供应商负责交涉、处理，并承担由此引起的对第三人和采购人的全部法律及经济责任。</w:t>
            </w:r>
          </w:p>
          <w:p w14:paraId="45B225CE">
            <w:pPr>
              <w:adjustRightInd w:val="0"/>
              <w:snapToGrid w:val="0"/>
              <w:ind w:right="120" w:rightChars="50"/>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lang w:bidi="zh-CN"/>
              </w:rPr>
              <w:t>4.本合同中涉及知识产权任何条款，在合同期限内及合同终止后持续有效。</w:t>
            </w:r>
          </w:p>
        </w:tc>
      </w:tr>
      <w:tr w14:paraId="3222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D6673E0">
            <w:pPr>
              <w:adjustRightInd w:val="0"/>
              <w:snapToGrid w:val="0"/>
              <w:ind w:right="120" w:rightChars="50"/>
              <w:jc w:val="left"/>
              <w:rPr>
                <w:rFonts w:hint="eastAsia" w:ascii="Times New Roman" w:hAnsi="Times New Roman" w:eastAsia="微软雅黑" w:cs="微软雅黑"/>
                <w:b/>
                <w:bCs/>
                <w:sz w:val="24"/>
                <w:szCs w:val="24"/>
              </w:rPr>
            </w:pPr>
            <w:r>
              <w:rPr>
                <w:rFonts w:hint="eastAsia" w:eastAsia="微软雅黑" w:cs="微软雅黑"/>
                <w:b/>
                <w:bCs/>
                <w:sz w:val="24"/>
                <w:szCs w:val="24"/>
                <w:lang w:val="en-US" w:eastAsia="zh-CN"/>
              </w:rPr>
              <w:t>六</w:t>
            </w:r>
            <w:r>
              <w:rPr>
                <w:rFonts w:hint="eastAsia" w:ascii="Times New Roman" w:hAnsi="Times New Roman" w:eastAsia="微软雅黑" w:cs="微软雅黑"/>
                <w:b/>
                <w:bCs/>
                <w:sz w:val="24"/>
                <w:szCs w:val="24"/>
              </w:rPr>
              <w:t>、其他：</w:t>
            </w:r>
          </w:p>
          <w:p w14:paraId="4A402DF1">
            <w:pPr>
              <w:adjustRightInd w:val="0"/>
              <w:snapToGrid w:val="0"/>
              <w:ind w:right="120" w:rightChars="50"/>
              <w:jc w:val="left"/>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成交供应商在提供服务全流程过程中，发生的所有人身伤害或财产损失均由成交供应商自行承担全部责任。</w:t>
            </w:r>
          </w:p>
        </w:tc>
      </w:tr>
    </w:tbl>
    <w:p w14:paraId="78DEFCEA">
      <w:pPr>
        <w:spacing w:line="360" w:lineRule="auto"/>
        <w:rPr>
          <w:rFonts w:hint="eastAsia" w:ascii="微软雅黑" w:hAnsi="微软雅黑" w:eastAsia="微软雅黑" w:cs="微软雅黑"/>
          <w:sz w:val="24"/>
          <w:szCs w:val="24"/>
          <w:lang w:eastAsia="zh-CN"/>
        </w:rPr>
        <w:sectPr>
          <w:headerReference r:id="rId5" w:type="default"/>
          <w:footerReference r:id="rId6" w:type="default"/>
          <w:pgSz w:w="11900" w:h="16840"/>
          <w:pgMar w:top="1440" w:right="1800" w:bottom="1440" w:left="1800" w:header="851" w:footer="992" w:gutter="0"/>
          <w:pgNumType w:fmt="decimal"/>
          <w:cols w:space="425" w:num="1"/>
          <w:docGrid w:type="lines" w:linePitch="312" w:charSpace="0"/>
        </w:sectPr>
      </w:pPr>
    </w:p>
    <w:p w14:paraId="33108BB0">
      <w:pPr>
        <w:spacing w:line="360" w:lineRule="auto"/>
        <w:jc w:val="center"/>
        <w:rPr>
          <w:rFonts w:hint="eastAsia" w:ascii="Times New Roman" w:hAnsi="Times New Roman" w:eastAsia="微软雅黑" w:cs="微软雅黑"/>
          <w:i/>
          <w:iCs/>
          <w:color w:val="FF0000"/>
          <w:sz w:val="24"/>
          <w:szCs w:val="24"/>
          <w:highlight w:val="yellow"/>
          <w:lang w:eastAsia="zh-CN"/>
        </w:rPr>
      </w:pPr>
      <w:r>
        <w:rPr>
          <w:rFonts w:hint="eastAsia" w:ascii="Times New Roman" w:hAnsi="Times New Roman" w:eastAsia="微软雅黑" w:cs="微软雅黑"/>
          <w:sz w:val="24"/>
          <w:szCs w:val="24"/>
          <w:lang w:eastAsia="zh-CN"/>
        </w:rPr>
        <w:t>附：综合评分表</w:t>
      </w:r>
    </w:p>
    <w:tbl>
      <w:tblPr>
        <w:tblStyle w:val="12"/>
        <w:tblW w:w="944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shd w:val="clear" w:color="auto" w:fill="auto"/>
        <w:tblLayout w:type="fixed"/>
        <w:tblCellMar>
          <w:top w:w="0" w:type="dxa"/>
          <w:left w:w="108" w:type="dxa"/>
          <w:bottom w:w="0" w:type="dxa"/>
          <w:right w:w="108" w:type="dxa"/>
        </w:tblCellMar>
      </w:tblPr>
      <w:tblGrid>
        <w:gridCol w:w="1862"/>
        <w:gridCol w:w="1836"/>
        <w:gridCol w:w="5750"/>
      </w:tblGrid>
      <w:tr w14:paraId="2CF2A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shd w:val="clear" w:color="auto" w:fill="auto"/>
          <w:tblCellMar>
            <w:top w:w="0" w:type="dxa"/>
            <w:left w:w="108" w:type="dxa"/>
            <w:bottom w:w="0" w:type="dxa"/>
            <w:right w:w="108" w:type="dxa"/>
          </w:tblCellMar>
        </w:tblPrEx>
        <w:trPr>
          <w:trHeight w:val="453" w:hRule="atLeast"/>
          <w:jc w:val="center"/>
        </w:trPr>
        <w:tc>
          <w:tcPr>
            <w:tcW w:w="1862" w:type="dxa"/>
            <w:shd w:val="clear" w:color="auto" w:fill="auto"/>
            <w:noWrap/>
            <w:vAlign w:val="center"/>
          </w:tcPr>
          <w:p w14:paraId="0D170E1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 w:val="left" w:pos="7720"/>
              </w:tabs>
              <w:spacing w:before="0" w:beforeAutospacing="0" w:after="0" w:afterAutospacing="0" w:line="315" w:lineRule="atLeast"/>
              <w:ind w:right="0"/>
              <w:rPr>
                <w:rFonts w:ascii="Times New Roman" w:hAnsi="Times New Roman" w:cs="宋体"/>
                <w:szCs w:val="21"/>
              </w:rPr>
            </w:pPr>
            <w:r>
              <w:rPr>
                <w:rFonts w:hint="eastAsia" w:ascii="Times New Roman" w:hAnsi="Times New Roman" w:eastAsia="微软雅黑" w:cs="微软雅黑"/>
                <w:sz w:val="24"/>
                <w:szCs w:val="24"/>
                <w:lang w:val="en-US" w:eastAsia="zh-CN"/>
              </w:rPr>
              <w:tab/>
            </w:r>
            <w:r>
              <w:rPr>
                <w:rFonts w:hint="eastAsia" w:ascii="Times New Roman" w:hAnsi="Times New Roman" w:cs="宋体"/>
                <w:szCs w:val="21"/>
              </w:rPr>
              <w:t>评审因素</w:t>
            </w:r>
          </w:p>
        </w:tc>
        <w:tc>
          <w:tcPr>
            <w:tcW w:w="7586" w:type="dxa"/>
            <w:gridSpan w:val="2"/>
            <w:shd w:val="clear" w:color="auto" w:fill="auto"/>
            <w:noWrap/>
          </w:tcPr>
          <w:p w14:paraId="22C1D796">
            <w:pPr>
              <w:spacing w:line="360" w:lineRule="auto"/>
              <w:jc w:val="center"/>
              <w:rPr>
                <w:rFonts w:ascii="Times New Roman" w:hAnsi="Times New Roman" w:cs="宋体"/>
                <w:szCs w:val="21"/>
              </w:rPr>
            </w:pPr>
            <w:r>
              <w:rPr>
                <w:rFonts w:hint="eastAsia" w:ascii="Times New Roman" w:hAnsi="Times New Roman" w:cs="宋体"/>
                <w:szCs w:val="21"/>
              </w:rPr>
              <w:t>评审标准</w:t>
            </w:r>
          </w:p>
        </w:tc>
      </w:tr>
      <w:tr w14:paraId="5A4EF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shd w:val="clear" w:color="auto" w:fill="auto"/>
          <w:tblCellMar>
            <w:top w:w="0" w:type="dxa"/>
            <w:left w:w="108" w:type="dxa"/>
            <w:bottom w:w="0" w:type="dxa"/>
            <w:right w:w="108" w:type="dxa"/>
          </w:tblCellMar>
        </w:tblPrEx>
        <w:trPr>
          <w:jc w:val="center"/>
        </w:trPr>
        <w:tc>
          <w:tcPr>
            <w:tcW w:w="1862" w:type="dxa"/>
            <w:shd w:val="clear" w:color="auto" w:fill="auto"/>
            <w:noWrap/>
            <w:vAlign w:val="center"/>
          </w:tcPr>
          <w:p w14:paraId="37EEF424">
            <w:pPr>
              <w:spacing w:line="360" w:lineRule="auto"/>
              <w:jc w:val="center"/>
              <w:rPr>
                <w:rFonts w:ascii="Times New Roman" w:hAnsi="Times New Roman" w:cs="宋体"/>
                <w:szCs w:val="21"/>
              </w:rPr>
            </w:pPr>
            <w:r>
              <w:rPr>
                <w:rFonts w:hint="eastAsia" w:ascii="Times New Roman" w:hAnsi="Times New Roman" w:cs="宋体"/>
                <w:szCs w:val="21"/>
              </w:rPr>
              <w:t>分值构成</w:t>
            </w:r>
          </w:p>
        </w:tc>
        <w:tc>
          <w:tcPr>
            <w:tcW w:w="7586" w:type="dxa"/>
            <w:gridSpan w:val="2"/>
            <w:shd w:val="clear" w:color="auto" w:fill="auto"/>
            <w:noWrap/>
          </w:tcPr>
          <w:p w14:paraId="0EE8D9D7">
            <w:pPr>
              <w:spacing w:line="360" w:lineRule="auto"/>
              <w:rPr>
                <w:rFonts w:ascii="Times New Roman" w:hAnsi="Times New Roman" w:cs="宋体"/>
                <w:szCs w:val="21"/>
              </w:rPr>
            </w:pPr>
            <w:r>
              <w:rPr>
                <w:rFonts w:hint="eastAsia" w:ascii="Times New Roman" w:hAnsi="Times New Roman" w:cs="宋体"/>
                <w:szCs w:val="21"/>
                <w:lang w:eastAsia="zh-CN"/>
              </w:rPr>
              <w:t>商务技术</w:t>
            </w:r>
            <w:r>
              <w:rPr>
                <w:rFonts w:hint="eastAsia" w:ascii="Times New Roman" w:hAnsi="Times New Roman" w:cs="宋体"/>
                <w:szCs w:val="21"/>
              </w:rPr>
              <w:t>部分</w:t>
            </w:r>
            <w:r>
              <w:rPr>
                <w:rFonts w:hint="eastAsia" w:cs="宋体"/>
                <w:szCs w:val="21"/>
                <w:lang w:val="en-US" w:eastAsia="zh-CN"/>
              </w:rPr>
              <w:t>8</w:t>
            </w:r>
            <w:r>
              <w:rPr>
                <w:rFonts w:hint="eastAsia" w:ascii="Times New Roman" w:hAnsi="Times New Roman" w:cs="宋体"/>
                <w:szCs w:val="21"/>
                <w:lang w:val="en-US" w:eastAsia="zh-CN"/>
              </w:rPr>
              <w:t>0</w:t>
            </w:r>
            <w:r>
              <w:rPr>
                <w:rFonts w:hint="eastAsia" w:ascii="Times New Roman" w:hAnsi="Times New Roman" w:cs="宋体"/>
                <w:szCs w:val="21"/>
              </w:rPr>
              <w:t>.0分</w:t>
            </w:r>
          </w:p>
          <w:p w14:paraId="291C36ED">
            <w:pPr>
              <w:spacing w:line="360" w:lineRule="auto"/>
              <w:rPr>
                <w:rFonts w:ascii="Times New Roman" w:hAnsi="Times New Roman" w:cs="宋体"/>
                <w:szCs w:val="21"/>
              </w:rPr>
            </w:pPr>
            <w:r>
              <w:rPr>
                <w:rFonts w:hint="eastAsia" w:ascii="Times New Roman" w:hAnsi="Times New Roman" w:cs="宋体"/>
                <w:szCs w:val="21"/>
              </w:rPr>
              <w:t>价格得分</w:t>
            </w:r>
            <w:r>
              <w:rPr>
                <w:rFonts w:hint="eastAsia" w:cs="宋体"/>
                <w:szCs w:val="21"/>
                <w:lang w:val="en-US" w:eastAsia="zh-CN"/>
              </w:rPr>
              <w:t>2</w:t>
            </w:r>
            <w:r>
              <w:rPr>
                <w:rFonts w:hint="eastAsia" w:ascii="Times New Roman" w:hAnsi="Times New Roman" w:cs="宋体"/>
                <w:szCs w:val="21"/>
              </w:rPr>
              <w:t>0.0分</w:t>
            </w:r>
          </w:p>
        </w:tc>
      </w:tr>
      <w:tr w14:paraId="3BEF5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shd w:val="clear" w:color="auto" w:fill="auto"/>
          <w:tblCellMar>
            <w:top w:w="0" w:type="dxa"/>
            <w:left w:w="108" w:type="dxa"/>
            <w:bottom w:w="0" w:type="dxa"/>
            <w:right w:w="108" w:type="dxa"/>
          </w:tblCellMar>
        </w:tblPrEx>
        <w:trPr>
          <w:jc w:val="center"/>
        </w:trPr>
        <w:tc>
          <w:tcPr>
            <w:tcW w:w="1862" w:type="dxa"/>
            <w:vMerge w:val="restart"/>
            <w:shd w:val="clear" w:color="auto" w:fill="auto"/>
            <w:noWrap/>
            <w:vAlign w:val="center"/>
          </w:tcPr>
          <w:p w14:paraId="13D6E9C5">
            <w:pPr>
              <w:spacing w:line="360" w:lineRule="auto"/>
              <w:jc w:val="center"/>
              <w:rPr>
                <w:rFonts w:ascii="Times New Roman" w:hAnsi="Times New Roman" w:cs="宋体"/>
                <w:szCs w:val="21"/>
              </w:rPr>
            </w:pPr>
            <w:r>
              <w:rPr>
                <w:rFonts w:hint="eastAsia" w:ascii="Times New Roman" w:hAnsi="Times New Roman" w:cs="宋体"/>
                <w:szCs w:val="21"/>
                <w:lang w:eastAsia="zh-CN"/>
              </w:rPr>
              <w:t>商务</w:t>
            </w:r>
            <w:r>
              <w:rPr>
                <w:rFonts w:hint="eastAsia" w:ascii="Times New Roman" w:hAnsi="Times New Roman" w:cs="宋体"/>
                <w:szCs w:val="21"/>
              </w:rPr>
              <w:t>技术部分</w:t>
            </w:r>
          </w:p>
          <w:p w14:paraId="4E05E5EA">
            <w:pPr>
              <w:spacing w:line="360" w:lineRule="auto"/>
              <w:jc w:val="center"/>
              <w:rPr>
                <w:rFonts w:ascii="Times New Roman" w:hAnsi="Times New Roman" w:cs="宋体"/>
                <w:szCs w:val="21"/>
              </w:rPr>
            </w:pPr>
            <w:r>
              <w:rPr>
                <w:rFonts w:hint="eastAsia" w:ascii="Times New Roman" w:hAnsi="Times New Roman" w:cs="宋体"/>
                <w:szCs w:val="21"/>
              </w:rPr>
              <w:t>（</w:t>
            </w:r>
            <w:r>
              <w:rPr>
                <w:rFonts w:hint="eastAsia" w:cs="宋体"/>
                <w:szCs w:val="21"/>
                <w:lang w:val="en-US" w:eastAsia="zh-CN"/>
              </w:rPr>
              <w:t>8</w:t>
            </w:r>
            <w:r>
              <w:rPr>
                <w:rFonts w:hint="eastAsia" w:ascii="Times New Roman" w:hAnsi="Times New Roman" w:cs="宋体"/>
                <w:szCs w:val="21"/>
                <w:lang w:val="en-US" w:eastAsia="zh-CN"/>
              </w:rPr>
              <w:t>0</w:t>
            </w:r>
            <w:r>
              <w:rPr>
                <w:rFonts w:hint="eastAsia" w:ascii="Times New Roman" w:hAnsi="Times New Roman" w:cs="宋体"/>
                <w:szCs w:val="21"/>
              </w:rPr>
              <w:t>分）</w:t>
            </w:r>
          </w:p>
        </w:tc>
        <w:tc>
          <w:tcPr>
            <w:tcW w:w="1836" w:type="dxa"/>
            <w:shd w:val="clear" w:color="auto" w:fill="auto"/>
            <w:noWrap/>
            <w:vAlign w:val="center"/>
          </w:tcPr>
          <w:p w14:paraId="289F16E8">
            <w:pPr>
              <w:spacing w:line="360" w:lineRule="auto"/>
              <w:jc w:val="center"/>
              <w:rPr>
                <w:rFonts w:ascii="Times New Roman" w:hAnsi="Times New Roman" w:cs="宋体"/>
                <w:szCs w:val="21"/>
              </w:rPr>
            </w:pPr>
            <w:r>
              <w:rPr>
                <w:rFonts w:hint="eastAsia" w:ascii="Times New Roman" w:hAnsi="Times New Roman" w:cs="宋体"/>
                <w:szCs w:val="21"/>
              </w:rPr>
              <w:t>项目实施方案(</w:t>
            </w:r>
            <w:r>
              <w:rPr>
                <w:rFonts w:hint="eastAsia" w:cs="宋体"/>
                <w:szCs w:val="21"/>
                <w:lang w:val="en-US" w:eastAsia="zh-CN"/>
              </w:rPr>
              <w:t>3</w:t>
            </w:r>
            <w:r>
              <w:rPr>
                <w:rFonts w:hint="eastAsia" w:ascii="Times New Roman" w:hAnsi="Times New Roman" w:cs="宋体"/>
                <w:szCs w:val="21"/>
                <w:lang w:val="en-US" w:eastAsia="zh-CN"/>
              </w:rPr>
              <w:t>0</w:t>
            </w:r>
            <w:r>
              <w:rPr>
                <w:rFonts w:hint="eastAsia" w:ascii="Times New Roman" w:hAnsi="Times New Roman" w:cs="宋体"/>
                <w:szCs w:val="21"/>
              </w:rPr>
              <w:t>分)</w:t>
            </w:r>
          </w:p>
        </w:tc>
        <w:tc>
          <w:tcPr>
            <w:tcW w:w="5750" w:type="dxa"/>
            <w:shd w:val="clear" w:color="auto" w:fill="auto"/>
            <w:noWrap/>
          </w:tcPr>
          <w:p w14:paraId="07C9E26B">
            <w:pPr>
              <w:spacing w:line="360" w:lineRule="auto"/>
              <w:rPr>
                <w:rFonts w:ascii="Times New Roman" w:hAnsi="Times New Roman" w:cs="宋体"/>
                <w:szCs w:val="21"/>
              </w:rPr>
            </w:pPr>
            <w:r>
              <w:rPr>
                <w:rFonts w:hint="eastAsia" w:ascii="Times New Roman" w:hAnsi="Times New Roman" w:cs="宋体"/>
                <w:szCs w:val="21"/>
              </w:rPr>
              <w:t>根据供应商提供的实施方案（包括但不限于人员配置、服务期间每日菜单、配送方式、厨余垃圾的处置与运输方案等）进行评审：</w:t>
            </w:r>
          </w:p>
          <w:p w14:paraId="39B5DE3E">
            <w:pPr>
              <w:numPr>
                <w:ilvl w:val="0"/>
                <w:numId w:val="0"/>
              </w:numPr>
              <w:spacing w:line="360" w:lineRule="auto"/>
              <w:rPr>
                <w:rFonts w:hint="eastAsia" w:ascii="Times New Roman" w:hAnsi="Times New Roman" w:cs="宋体"/>
                <w:szCs w:val="21"/>
              </w:rPr>
            </w:pPr>
            <w:r>
              <w:rPr>
                <w:rFonts w:hint="eastAsia" w:ascii="Times New Roman" w:hAnsi="Times New Roman" w:eastAsia="宋体" w:cs="宋体"/>
                <w:kern w:val="2"/>
                <w:sz w:val="24"/>
                <w:szCs w:val="21"/>
                <w:lang w:val="en-US" w:eastAsia="zh-CN" w:bidi="ar-SA"/>
              </w:rPr>
              <w:t>1、</w:t>
            </w:r>
            <w:r>
              <w:rPr>
                <w:rFonts w:hint="eastAsia" w:ascii="Times New Roman" w:hAnsi="Times New Roman" w:cs="宋体"/>
                <w:szCs w:val="21"/>
              </w:rPr>
              <w:t>实施方案涵盖上述所有内容，方案详细具体，能细化到采购需求的所有内容且详细具体，科学、实用和合理，完全满足或优于采购需求的，得</w:t>
            </w:r>
            <w:r>
              <w:rPr>
                <w:rFonts w:hint="eastAsia" w:ascii="Times New Roman" w:hAnsi="Times New Roman" w:cs="宋体"/>
                <w:szCs w:val="21"/>
                <w:lang w:val="en-US" w:eastAsia="zh-CN"/>
              </w:rPr>
              <w:t>30</w:t>
            </w:r>
            <w:r>
              <w:rPr>
                <w:rFonts w:hint="eastAsia" w:ascii="Times New Roman" w:hAnsi="Times New Roman" w:cs="宋体"/>
                <w:szCs w:val="21"/>
              </w:rPr>
              <w:t>分；</w:t>
            </w:r>
          </w:p>
          <w:p w14:paraId="53DC7291">
            <w:pPr>
              <w:numPr>
                <w:ilvl w:val="0"/>
                <w:numId w:val="0"/>
              </w:numPr>
              <w:spacing w:line="360" w:lineRule="auto"/>
              <w:rPr>
                <w:rFonts w:ascii="Times New Roman" w:hAnsi="Times New Roman" w:cs="宋体"/>
                <w:szCs w:val="21"/>
              </w:rPr>
            </w:pPr>
            <w:r>
              <w:rPr>
                <w:rFonts w:ascii="Times New Roman" w:hAnsi="Times New Roman" w:eastAsia="宋体" w:cs="宋体"/>
                <w:kern w:val="2"/>
                <w:sz w:val="24"/>
                <w:szCs w:val="21"/>
                <w:lang w:val="en-US" w:eastAsia="zh-CN" w:bidi="ar-SA"/>
              </w:rPr>
              <w:t>2、</w:t>
            </w:r>
            <w:r>
              <w:rPr>
                <w:rFonts w:hint="eastAsia" w:ascii="Times New Roman" w:hAnsi="Times New Roman" w:cs="宋体"/>
                <w:szCs w:val="21"/>
              </w:rPr>
              <w:t>实施方案涵盖上述所有内容，方案较详细，能比较细化到采购需求的所有内容，较科学、比较实用和合理，比较满足采购需求的，得</w:t>
            </w:r>
            <w:r>
              <w:rPr>
                <w:rFonts w:hint="eastAsia" w:ascii="Times New Roman" w:hAnsi="Times New Roman" w:cs="宋体"/>
                <w:szCs w:val="21"/>
                <w:lang w:val="en-US" w:eastAsia="zh-CN"/>
              </w:rPr>
              <w:t>20</w:t>
            </w:r>
            <w:r>
              <w:rPr>
                <w:rFonts w:hint="eastAsia" w:ascii="Times New Roman" w:hAnsi="Times New Roman" w:cs="宋体"/>
                <w:szCs w:val="21"/>
              </w:rPr>
              <w:t>分；</w:t>
            </w:r>
          </w:p>
          <w:p w14:paraId="05C046BB">
            <w:pPr>
              <w:numPr>
                <w:ilvl w:val="0"/>
                <w:numId w:val="0"/>
              </w:numPr>
              <w:spacing w:line="360" w:lineRule="auto"/>
              <w:rPr>
                <w:rFonts w:ascii="Times New Roman" w:hAnsi="Times New Roman" w:cs="宋体"/>
                <w:szCs w:val="21"/>
              </w:rPr>
            </w:pPr>
            <w:r>
              <w:rPr>
                <w:rFonts w:ascii="Times New Roman" w:hAnsi="Times New Roman" w:eastAsia="宋体" w:cs="宋体"/>
                <w:kern w:val="2"/>
                <w:sz w:val="24"/>
                <w:szCs w:val="21"/>
                <w:lang w:val="en-US" w:eastAsia="zh-CN" w:bidi="ar-SA"/>
              </w:rPr>
              <w:t>3、</w:t>
            </w:r>
            <w:r>
              <w:rPr>
                <w:rFonts w:hint="eastAsia" w:ascii="Times New Roman" w:hAnsi="Times New Roman" w:cs="宋体"/>
                <w:szCs w:val="21"/>
              </w:rPr>
              <w:t>实施方案涵盖上述所有内容，方案较完整，基本涵盖采购需求的所有内容，基本合理，基本满足采购需求的，得</w:t>
            </w:r>
            <w:r>
              <w:rPr>
                <w:rFonts w:hint="eastAsia" w:ascii="Times New Roman" w:hAnsi="Times New Roman" w:cs="宋体"/>
                <w:szCs w:val="21"/>
                <w:lang w:val="en-US" w:eastAsia="zh-CN"/>
              </w:rPr>
              <w:t>10</w:t>
            </w:r>
            <w:r>
              <w:rPr>
                <w:rFonts w:hint="eastAsia" w:ascii="Times New Roman" w:hAnsi="Times New Roman" w:cs="宋体"/>
                <w:szCs w:val="21"/>
              </w:rPr>
              <w:t>分；</w:t>
            </w:r>
          </w:p>
          <w:p w14:paraId="412CA7D3">
            <w:pPr>
              <w:numPr>
                <w:ilvl w:val="0"/>
                <w:numId w:val="0"/>
              </w:numPr>
              <w:spacing w:line="360" w:lineRule="auto"/>
              <w:rPr>
                <w:rFonts w:ascii="Times New Roman" w:hAnsi="Times New Roman" w:cs="宋体"/>
                <w:szCs w:val="21"/>
              </w:rPr>
            </w:pPr>
            <w:r>
              <w:rPr>
                <w:rFonts w:ascii="Times New Roman" w:hAnsi="Times New Roman" w:eastAsia="宋体" w:cs="宋体"/>
                <w:kern w:val="2"/>
                <w:sz w:val="24"/>
                <w:szCs w:val="21"/>
                <w:lang w:val="en-US" w:eastAsia="zh-CN" w:bidi="ar-SA"/>
              </w:rPr>
              <w:t>4、</w:t>
            </w:r>
            <w:r>
              <w:rPr>
                <w:rFonts w:hint="eastAsia" w:ascii="Times New Roman" w:hAnsi="Times New Roman" w:cs="宋体"/>
                <w:szCs w:val="21"/>
              </w:rPr>
              <w:t>实施方案未涵盖上述所有内容，方案不够完整，未涵盖采购需求的所有内容，不够合理，不够满足采购需求的，得</w:t>
            </w:r>
            <w:r>
              <w:rPr>
                <w:rFonts w:hint="eastAsia" w:ascii="Times New Roman" w:hAnsi="Times New Roman" w:cs="宋体"/>
                <w:szCs w:val="21"/>
                <w:lang w:val="en-US" w:eastAsia="zh-CN"/>
              </w:rPr>
              <w:t>5</w:t>
            </w:r>
            <w:r>
              <w:rPr>
                <w:rFonts w:hint="eastAsia" w:ascii="Times New Roman" w:hAnsi="Times New Roman" w:cs="宋体"/>
                <w:szCs w:val="21"/>
              </w:rPr>
              <w:t>分。</w:t>
            </w:r>
          </w:p>
          <w:p w14:paraId="675F0CDC">
            <w:pPr>
              <w:spacing w:line="360" w:lineRule="auto"/>
              <w:rPr>
                <w:rFonts w:ascii="Times New Roman" w:hAnsi="Times New Roman" w:cs="宋体"/>
                <w:szCs w:val="21"/>
              </w:rPr>
            </w:pPr>
            <w:r>
              <w:rPr>
                <w:rFonts w:hint="eastAsia" w:ascii="Times New Roman" w:hAnsi="Times New Roman" w:cs="宋体"/>
                <w:szCs w:val="21"/>
              </w:rPr>
              <w:t>注：无相关方案的，不得分。</w:t>
            </w:r>
          </w:p>
        </w:tc>
      </w:tr>
      <w:tr w14:paraId="511F8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shd w:val="clear" w:color="auto" w:fill="auto"/>
          <w:tblCellMar>
            <w:top w:w="0" w:type="dxa"/>
            <w:left w:w="108" w:type="dxa"/>
            <w:bottom w:w="0" w:type="dxa"/>
            <w:right w:w="108" w:type="dxa"/>
          </w:tblCellMar>
        </w:tblPrEx>
        <w:trPr>
          <w:jc w:val="center"/>
        </w:trPr>
        <w:tc>
          <w:tcPr>
            <w:tcW w:w="1862" w:type="dxa"/>
            <w:vMerge w:val="continue"/>
            <w:shd w:val="clear" w:color="auto" w:fill="auto"/>
            <w:noWrap/>
            <w:vAlign w:val="center"/>
          </w:tcPr>
          <w:p w14:paraId="24F9837E">
            <w:pPr>
              <w:spacing w:line="360" w:lineRule="auto"/>
              <w:jc w:val="center"/>
              <w:rPr>
                <w:rFonts w:ascii="Times New Roman" w:hAnsi="Times New Roman" w:cs="宋体"/>
                <w:szCs w:val="21"/>
              </w:rPr>
            </w:pPr>
          </w:p>
        </w:tc>
        <w:tc>
          <w:tcPr>
            <w:tcW w:w="1836" w:type="dxa"/>
            <w:shd w:val="clear" w:color="auto" w:fill="auto"/>
            <w:noWrap/>
            <w:vAlign w:val="center"/>
          </w:tcPr>
          <w:p w14:paraId="7CB6B730">
            <w:pPr>
              <w:spacing w:line="360" w:lineRule="auto"/>
              <w:jc w:val="center"/>
              <w:rPr>
                <w:rFonts w:ascii="Times New Roman" w:hAnsi="Times New Roman" w:cs="宋体"/>
                <w:szCs w:val="21"/>
              </w:rPr>
            </w:pPr>
            <w:r>
              <w:rPr>
                <w:rFonts w:hint="eastAsia" w:ascii="Times New Roman" w:hAnsi="Times New Roman" w:cs="宋体"/>
                <w:szCs w:val="21"/>
              </w:rPr>
              <w:t>应急处置方案(</w:t>
            </w:r>
            <w:r>
              <w:rPr>
                <w:rFonts w:hint="eastAsia" w:cs="宋体"/>
                <w:szCs w:val="21"/>
                <w:lang w:val="en-US" w:eastAsia="zh-CN"/>
              </w:rPr>
              <w:t>1</w:t>
            </w:r>
            <w:r>
              <w:rPr>
                <w:rFonts w:hint="eastAsia" w:ascii="Times New Roman" w:hAnsi="Times New Roman" w:cs="宋体"/>
                <w:szCs w:val="21"/>
                <w:lang w:val="en-US" w:eastAsia="zh-CN"/>
              </w:rPr>
              <w:t>0</w:t>
            </w:r>
            <w:r>
              <w:rPr>
                <w:rFonts w:hint="eastAsia" w:ascii="Times New Roman" w:hAnsi="Times New Roman" w:cs="宋体"/>
                <w:szCs w:val="21"/>
              </w:rPr>
              <w:t>分)</w:t>
            </w:r>
          </w:p>
        </w:tc>
        <w:tc>
          <w:tcPr>
            <w:tcW w:w="5750" w:type="dxa"/>
            <w:shd w:val="clear" w:color="auto" w:fill="auto"/>
            <w:noWrap/>
          </w:tcPr>
          <w:p w14:paraId="69878A2C">
            <w:pPr>
              <w:spacing w:line="360" w:lineRule="auto"/>
              <w:rPr>
                <w:rFonts w:ascii="Times New Roman" w:hAnsi="Times New Roman" w:cs="宋体"/>
                <w:szCs w:val="21"/>
              </w:rPr>
            </w:pPr>
            <w:r>
              <w:rPr>
                <w:rFonts w:hint="eastAsia" w:ascii="Times New Roman" w:hAnsi="Times New Roman" w:cs="宋体"/>
                <w:szCs w:val="21"/>
              </w:rPr>
              <w:t>根据供应商所提供的应急预案进行横向比较，分档评分：</w:t>
            </w:r>
          </w:p>
          <w:p w14:paraId="7E8000A2">
            <w:pPr>
              <w:spacing w:line="360" w:lineRule="auto"/>
              <w:rPr>
                <w:rFonts w:ascii="Times New Roman" w:hAnsi="Times New Roman" w:cs="宋体"/>
                <w:szCs w:val="21"/>
              </w:rPr>
            </w:pPr>
            <w:r>
              <w:rPr>
                <w:rFonts w:hint="eastAsia" w:ascii="Times New Roman" w:hAnsi="Times New Roman" w:cs="宋体"/>
                <w:szCs w:val="21"/>
              </w:rPr>
              <w:t>1.服务应急方案详细且合理，完全满足要求，得</w:t>
            </w:r>
            <w:r>
              <w:rPr>
                <w:rFonts w:hint="eastAsia" w:cs="宋体"/>
                <w:szCs w:val="21"/>
                <w:lang w:val="en-US" w:eastAsia="zh-CN"/>
              </w:rPr>
              <w:t>1</w:t>
            </w:r>
            <w:r>
              <w:rPr>
                <w:rFonts w:hint="eastAsia" w:ascii="Times New Roman" w:hAnsi="Times New Roman" w:cs="宋体"/>
                <w:szCs w:val="21"/>
                <w:lang w:val="en-US" w:eastAsia="zh-CN"/>
              </w:rPr>
              <w:t>0</w:t>
            </w:r>
            <w:r>
              <w:rPr>
                <w:rFonts w:hint="eastAsia" w:ascii="Times New Roman" w:hAnsi="Times New Roman" w:cs="宋体"/>
                <w:szCs w:val="21"/>
              </w:rPr>
              <w:t>分；</w:t>
            </w:r>
          </w:p>
          <w:p w14:paraId="0A462D58">
            <w:pPr>
              <w:numPr>
                <w:ilvl w:val="0"/>
                <w:numId w:val="0"/>
              </w:numPr>
              <w:spacing w:line="360" w:lineRule="auto"/>
              <w:rPr>
                <w:rFonts w:ascii="Times New Roman" w:hAnsi="Times New Roman" w:cs="宋体"/>
                <w:szCs w:val="21"/>
              </w:rPr>
            </w:pPr>
            <w:r>
              <w:rPr>
                <w:rFonts w:ascii="Times New Roman" w:hAnsi="Times New Roman" w:eastAsia="宋体" w:cs="宋体"/>
                <w:kern w:val="2"/>
                <w:sz w:val="24"/>
                <w:szCs w:val="21"/>
                <w:lang w:val="en-US" w:eastAsia="zh-CN" w:bidi="ar-SA"/>
              </w:rPr>
              <w:t>2.</w:t>
            </w:r>
            <w:r>
              <w:rPr>
                <w:rFonts w:hint="eastAsia" w:ascii="Times New Roman" w:hAnsi="Times New Roman" w:cs="宋体"/>
                <w:szCs w:val="21"/>
              </w:rPr>
              <w:t>服务应急方案较合理，能满足要求，得</w:t>
            </w:r>
            <w:r>
              <w:rPr>
                <w:rFonts w:hint="eastAsia" w:cs="宋体"/>
                <w:szCs w:val="21"/>
                <w:lang w:val="en-US" w:eastAsia="zh-CN"/>
              </w:rPr>
              <w:t>8</w:t>
            </w:r>
            <w:r>
              <w:rPr>
                <w:rFonts w:hint="eastAsia" w:ascii="Times New Roman" w:hAnsi="Times New Roman" w:cs="宋体"/>
                <w:szCs w:val="21"/>
              </w:rPr>
              <w:t>分；</w:t>
            </w:r>
          </w:p>
          <w:p w14:paraId="0DE52862">
            <w:pPr>
              <w:numPr>
                <w:ilvl w:val="0"/>
                <w:numId w:val="0"/>
              </w:numPr>
              <w:spacing w:line="360" w:lineRule="auto"/>
              <w:rPr>
                <w:rFonts w:ascii="Times New Roman" w:hAnsi="Times New Roman" w:cs="宋体"/>
                <w:szCs w:val="21"/>
              </w:rPr>
            </w:pPr>
            <w:r>
              <w:rPr>
                <w:rFonts w:ascii="Times New Roman" w:hAnsi="Times New Roman" w:eastAsia="宋体" w:cs="宋体"/>
                <w:kern w:val="2"/>
                <w:sz w:val="24"/>
                <w:szCs w:val="21"/>
                <w:lang w:val="en-US" w:eastAsia="zh-CN" w:bidi="ar-SA"/>
              </w:rPr>
              <w:t>3.</w:t>
            </w:r>
            <w:r>
              <w:rPr>
                <w:rFonts w:hint="eastAsia" w:ascii="Times New Roman" w:hAnsi="Times New Roman" w:cs="宋体"/>
                <w:szCs w:val="21"/>
              </w:rPr>
              <w:t>服务应急方案有缺陷，能基本满足要求，得</w:t>
            </w:r>
            <w:r>
              <w:rPr>
                <w:rFonts w:hint="eastAsia" w:cs="宋体"/>
                <w:szCs w:val="21"/>
                <w:lang w:val="en-US" w:eastAsia="zh-CN"/>
              </w:rPr>
              <w:t>5</w:t>
            </w:r>
            <w:r>
              <w:rPr>
                <w:rFonts w:hint="eastAsia" w:ascii="Times New Roman" w:hAnsi="Times New Roman" w:cs="宋体"/>
                <w:szCs w:val="21"/>
              </w:rPr>
              <w:t>分；</w:t>
            </w:r>
          </w:p>
          <w:p w14:paraId="152F0276">
            <w:pPr>
              <w:numPr>
                <w:ilvl w:val="0"/>
                <w:numId w:val="0"/>
              </w:numPr>
              <w:spacing w:line="360" w:lineRule="auto"/>
              <w:ind w:left="0" w:leftChars="0" w:firstLine="0" w:firstLineChars="0"/>
              <w:rPr>
                <w:rFonts w:hint="eastAsia" w:ascii="Times New Roman" w:hAnsi="Times New Roman" w:cs="宋体"/>
                <w:szCs w:val="21"/>
              </w:rPr>
            </w:pPr>
            <w:r>
              <w:rPr>
                <w:rFonts w:hint="eastAsia" w:ascii="Times New Roman" w:hAnsi="Times New Roman" w:eastAsia="宋体" w:cs="宋体"/>
                <w:kern w:val="2"/>
                <w:sz w:val="24"/>
                <w:szCs w:val="21"/>
                <w:lang w:val="en-US" w:eastAsia="zh-CN" w:bidi="ar-SA"/>
              </w:rPr>
              <w:t>4.</w:t>
            </w:r>
            <w:r>
              <w:rPr>
                <w:rFonts w:hint="eastAsia" w:ascii="Times New Roman" w:hAnsi="Times New Roman" w:cs="宋体"/>
                <w:szCs w:val="21"/>
              </w:rPr>
              <w:t>服务应急方案不合理，得</w:t>
            </w:r>
            <w:r>
              <w:rPr>
                <w:rFonts w:hint="eastAsia" w:cs="宋体"/>
                <w:szCs w:val="21"/>
                <w:lang w:val="en-US" w:eastAsia="zh-CN"/>
              </w:rPr>
              <w:t>2</w:t>
            </w:r>
            <w:r>
              <w:rPr>
                <w:rFonts w:hint="eastAsia" w:ascii="Times New Roman" w:hAnsi="Times New Roman" w:cs="宋体"/>
                <w:szCs w:val="21"/>
              </w:rPr>
              <w:t>分。</w:t>
            </w:r>
          </w:p>
          <w:p w14:paraId="7CAE3480">
            <w:pPr>
              <w:numPr>
                <w:ilvl w:val="0"/>
                <w:numId w:val="0"/>
              </w:numPr>
              <w:spacing w:line="360" w:lineRule="auto"/>
              <w:ind w:leftChars="0"/>
              <w:rPr>
                <w:rFonts w:hint="eastAsia" w:ascii="Times New Roman" w:hAnsi="Times New Roman" w:cs="宋体"/>
                <w:szCs w:val="21"/>
              </w:rPr>
            </w:pPr>
            <w:r>
              <w:rPr>
                <w:rFonts w:hint="eastAsia" w:ascii="Times New Roman" w:hAnsi="Times New Roman" w:cs="宋体"/>
                <w:szCs w:val="21"/>
              </w:rPr>
              <w:t>注：无相关方案的，不得分。</w:t>
            </w:r>
          </w:p>
        </w:tc>
      </w:tr>
      <w:tr w14:paraId="1E3CE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shd w:val="clear" w:color="auto" w:fill="auto"/>
          <w:tblCellMar>
            <w:top w:w="0" w:type="dxa"/>
            <w:left w:w="108" w:type="dxa"/>
            <w:bottom w:w="0" w:type="dxa"/>
            <w:right w:w="108" w:type="dxa"/>
          </w:tblCellMar>
        </w:tblPrEx>
        <w:trPr>
          <w:trHeight w:val="1469" w:hRule="atLeast"/>
          <w:jc w:val="center"/>
        </w:trPr>
        <w:tc>
          <w:tcPr>
            <w:tcW w:w="1862" w:type="dxa"/>
            <w:vMerge w:val="continue"/>
            <w:shd w:val="clear" w:color="auto" w:fill="auto"/>
            <w:noWrap/>
            <w:vAlign w:val="center"/>
          </w:tcPr>
          <w:p w14:paraId="25D20DF6">
            <w:pPr>
              <w:spacing w:line="360" w:lineRule="auto"/>
              <w:jc w:val="center"/>
              <w:rPr>
                <w:rFonts w:ascii="Times New Roman" w:hAnsi="Times New Roman" w:cs="宋体"/>
                <w:szCs w:val="21"/>
              </w:rPr>
            </w:pPr>
          </w:p>
        </w:tc>
        <w:tc>
          <w:tcPr>
            <w:tcW w:w="1836" w:type="dxa"/>
            <w:shd w:val="clear" w:color="auto" w:fill="auto"/>
            <w:noWrap/>
            <w:vAlign w:val="center"/>
          </w:tcPr>
          <w:p w14:paraId="6A428AAD">
            <w:pPr>
              <w:spacing w:line="360" w:lineRule="auto"/>
              <w:jc w:val="center"/>
              <w:rPr>
                <w:rFonts w:ascii="Times New Roman" w:hAnsi="Times New Roman" w:cs="宋体"/>
                <w:szCs w:val="21"/>
              </w:rPr>
            </w:pPr>
            <w:r>
              <w:rPr>
                <w:rFonts w:hint="eastAsia" w:ascii="Times New Roman" w:hAnsi="Times New Roman" w:cs="宋体"/>
                <w:szCs w:val="21"/>
              </w:rPr>
              <w:t>同类项目业绩</w:t>
            </w:r>
          </w:p>
          <w:p w14:paraId="4F5CCC31">
            <w:pPr>
              <w:spacing w:line="360" w:lineRule="auto"/>
              <w:jc w:val="center"/>
              <w:rPr>
                <w:rFonts w:ascii="Times New Roman" w:hAnsi="Times New Roman" w:cs="宋体"/>
                <w:szCs w:val="21"/>
              </w:rPr>
            </w:pPr>
            <w:r>
              <w:rPr>
                <w:rFonts w:hint="eastAsia" w:ascii="Times New Roman" w:hAnsi="Times New Roman" w:cs="宋体"/>
                <w:szCs w:val="21"/>
              </w:rPr>
              <w:t>(</w:t>
            </w:r>
            <w:r>
              <w:rPr>
                <w:rFonts w:hint="eastAsia" w:ascii="Times New Roman" w:hAnsi="Times New Roman" w:cs="宋体"/>
                <w:szCs w:val="21"/>
                <w:lang w:val="en-US" w:eastAsia="zh-CN"/>
              </w:rPr>
              <w:t>30</w:t>
            </w:r>
            <w:r>
              <w:rPr>
                <w:rFonts w:hint="eastAsia" w:ascii="Times New Roman" w:hAnsi="Times New Roman" w:cs="宋体"/>
                <w:szCs w:val="21"/>
              </w:rPr>
              <w:t>分)</w:t>
            </w:r>
          </w:p>
        </w:tc>
        <w:tc>
          <w:tcPr>
            <w:tcW w:w="5750" w:type="dxa"/>
            <w:shd w:val="clear" w:color="auto" w:fill="auto"/>
            <w:noWrap/>
          </w:tcPr>
          <w:p w14:paraId="68EF365D">
            <w:pPr>
              <w:spacing w:line="360" w:lineRule="auto"/>
              <w:rPr>
                <w:rFonts w:ascii="Times New Roman" w:hAnsi="Times New Roman" w:cs="宋体"/>
                <w:szCs w:val="21"/>
              </w:rPr>
            </w:pPr>
            <w:r>
              <w:rPr>
                <w:rFonts w:hint="eastAsia" w:ascii="Times New Roman" w:hAnsi="Times New Roman" w:cs="宋体"/>
                <w:szCs w:val="21"/>
              </w:rPr>
              <w:t>供应商自2023年</w:t>
            </w:r>
            <w:r>
              <w:rPr>
                <w:rFonts w:hint="eastAsia" w:cs="宋体"/>
                <w:szCs w:val="21"/>
                <w:lang w:val="en-US" w:eastAsia="zh-CN"/>
              </w:rPr>
              <w:t>6</w:t>
            </w:r>
            <w:r>
              <w:rPr>
                <w:rFonts w:hint="eastAsia" w:ascii="Times New Roman" w:hAnsi="Times New Roman" w:cs="宋体"/>
                <w:szCs w:val="21"/>
              </w:rPr>
              <w:t>月1日以来（以合同生效时间为准）承接过的同类项目业绩合同，每提供一个同类项目合同得</w:t>
            </w:r>
            <w:r>
              <w:rPr>
                <w:rFonts w:hint="eastAsia" w:ascii="Times New Roman" w:hAnsi="Times New Roman" w:cs="宋体"/>
                <w:szCs w:val="21"/>
                <w:lang w:val="en-US" w:eastAsia="zh-CN"/>
              </w:rPr>
              <w:t>6</w:t>
            </w:r>
            <w:r>
              <w:rPr>
                <w:rFonts w:hint="eastAsia" w:ascii="Times New Roman" w:hAnsi="Times New Roman" w:cs="宋体"/>
                <w:szCs w:val="21"/>
              </w:rPr>
              <w:t>分；本项最高得</w:t>
            </w:r>
            <w:r>
              <w:rPr>
                <w:rFonts w:hint="eastAsia" w:ascii="Times New Roman" w:hAnsi="Times New Roman" w:cs="宋体"/>
                <w:szCs w:val="21"/>
                <w:lang w:val="en-US" w:eastAsia="zh-CN"/>
              </w:rPr>
              <w:t>30</w:t>
            </w:r>
            <w:r>
              <w:rPr>
                <w:rFonts w:hint="eastAsia" w:ascii="Times New Roman" w:hAnsi="Times New Roman" w:cs="宋体"/>
                <w:szCs w:val="21"/>
              </w:rPr>
              <w:t>分。</w:t>
            </w:r>
          </w:p>
          <w:p w14:paraId="07205AB1">
            <w:pPr>
              <w:spacing w:line="360" w:lineRule="auto"/>
              <w:rPr>
                <w:rFonts w:ascii="Times New Roman" w:hAnsi="Times New Roman" w:cs="宋体"/>
                <w:szCs w:val="21"/>
              </w:rPr>
            </w:pPr>
            <w:r>
              <w:rPr>
                <w:rFonts w:hint="eastAsia" w:ascii="Times New Roman" w:hAnsi="Times New Roman" w:cs="宋体"/>
                <w:szCs w:val="21"/>
              </w:rPr>
              <w:t>注：同一项目不同年份的合同按一份计算，不重复计算分数。同一业主续签不重复计分。须提供合同复印件，并加盖公章。</w:t>
            </w:r>
          </w:p>
        </w:tc>
      </w:tr>
      <w:tr w14:paraId="2744A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shd w:val="clear" w:color="auto" w:fill="auto"/>
          <w:tblCellMar>
            <w:top w:w="0" w:type="dxa"/>
            <w:left w:w="108" w:type="dxa"/>
            <w:bottom w:w="0" w:type="dxa"/>
            <w:right w:w="108" w:type="dxa"/>
          </w:tblCellMar>
        </w:tblPrEx>
        <w:trPr>
          <w:jc w:val="center"/>
        </w:trPr>
        <w:tc>
          <w:tcPr>
            <w:tcW w:w="1862" w:type="dxa"/>
            <w:vMerge w:val="continue"/>
            <w:shd w:val="clear" w:color="auto" w:fill="auto"/>
            <w:noWrap/>
            <w:vAlign w:val="center"/>
          </w:tcPr>
          <w:p w14:paraId="6524C7F3">
            <w:pPr>
              <w:spacing w:line="360" w:lineRule="auto"/>
              <w:jc w:val="center"/>
              <w:rPr>
                <w:rFonts w:ascii="Times New Roman" w:hAnsi="Times New Roman" w:cs="宋体"/>
                <w:szCs w:val="21"/>
              </w:rPr>
            </w:pPr>
          </w:p>
        </w:tc>
        <w:tc>
          <w:tcPr>
            <w:tcW w:w="1836" w:type="dxa"/>
            <w:shd w:val="clear" w:color="auto" w:fill="auto"/>
            <w:noWrap/>
            <w:vAlign w:val="center"/>
          </w:tcPr>
          <w:p w14:paraId="25C8E696">
            <w:pPr>
              <w:spacing w:line="360" w:lineRule="auto"/>
              <w:jc w:val="center"/>
              <w:rPr>
                <w:rFonts w:ascii="Times New Roman" w:hAnsi="Times New Roman" w:cs="宋体"/>
                <w:szCs w:val="21"/>
              </w:rPr>
            </w:pPr>
            <w:r>
              <w:rPr>
                <w:rFonts w:hint="eastAsia" w:ascii="Times New Roman" w:hAnsi="Times New Roman" w:cs="宋体"/>
                <w:szCs w:val="21"/>
              </w:rPr>
              <w:t>客户服务评价（依据提供的同类项目业绩的业主评价）</w:t>
            </w:r>
          </w:p>
          <w:p w14:paraId="12CBB50E">
            <w:pPr>
              <w:spacing w:line="360" w:lineRule="auto"/>
              <w:jc w:val="center"/>
              <w:rPr>
                <w:rFonts w:ascii="Times New Roman" w:hAnsi="Times New Roman" w:cs="宋体"/>
                <w:szCs w:val="21"/>
              </w:rPr>
            </w:pPr>
            <w:r>
              <w:rPr>
                <w:rFonts w:hint="eastAsia" w:ascii="Times New Roman" w:hAnsi="Times New Roman" w:cs="宋体"/>
                <w:szCs w:val="21"/>
              </w:rPr>
              <w:t>(</w:t>
            </w:r>
            <w:r>
              <w:rPr>
                <w:rFonts w:hint="eastAsia" w:ascii="Times New Roman" w:hAnsi="Times New Roman" w:cs="宋体"/>
                <w:szCs w:val="21"/>
                <w:lang w:val="en-US" w:eastAsia="zh-CN"/>
              </w:rPr>
              <w:t>10</w:t>
            </w:r>
            <w:r>
              <w:rPr>
                <w:rFonts w:hint="eastAsia" w:ascii="Times New Roman" w:hAnsi="Times New Roman" w:cs="宋体"/>
                <w:szCs w:val="21"/>
              </w:rPr>
              <w:t>分)</w:t>
            </w:r>
          </w:p>
        </w:tc>
        <w:tc>
          <w:tcPr>
            <w:tcW w:w="5750" w:type="dxa"/>
            <w:shd w:val="clear" w:color="auto" w:fill="auto"/>
            <w:noWrap/>
          </w:tcPr>
          <w:p w14:paraId="45C69B72">
            <w:pPr>
              <w:spacing w:line="360" w:lineRule="auto"/>
              <w:rPr>
                <w:rFonts w:hint="eastAsia" w:ascii="Times New Roman" w:hAnsi="Times New Roman" w:cs="宋体"/>
                <w:szCs w:val="21"/>
              </w:rPr>
            </w:pPr>
            <w:r>
              <w:rPr>
                <w:rFonts w:hint="eastAsia" w:ascii="Times New Roman" w:hAnsi="Times New Roman" w:cs="宋体"/>
                <w:szCs w:val="21"/>
              </w:rPr>
              <w:t>每提供一份2023年</w:t>
            </w:r>
            <w:r>
              <w:rPr>
                <w:rFonts w:hint="eastAsia" w:cs="宋体"/>
                <w:szCs w:val="21"/>
                <w:lang w:val="en-US" w:eastAsia="zh-CN"/>
              </w:rPr>
              <w:t>6</w:t>
            </w:r>
            <w:r>
              <w:rPr>
                <w:rFonts w:hint="eastAsia" w:ascii="Times New Roman" w:hAnsi="Times New Roman" w:cs="宋体"/>
                <w:szCs w:val="21"/>
              </w:rPr>
              <w:t>月1日以来的同类项目业绩的评价为满意或优或优秀等正面评价的，每个用户评价得</w:t>
            </w:r>
            <w:r>
              <w:rPr>
                <w:rFonts w:hint="eastAsia" w:ascii="Times New Roman" w:hAnsi="Times New Roman" w:cs="宋体"/>
                <w:szCs w:val="21"/>
                <w:lang w:val="en-US" w:eastAsia="zh-CN"/>
              </w:rPr>
              <w:t>2</w:t>
            </w:r>
            <w:r>
              <w:rPr>
                <w:rFonts w:hint="eastAsia" w:ascii="Times New Roman" w:hAnsi="Times New Roman" w:cs="宋体"/>
                <w:szCs w:val="21"/>
              </w:rPr>
              <w:t>分。本项最高得</w:t>
            </w:r>
            <w:r>
              <w:rPr>
                <w:rFonts w:hint="eastAsia" w:ascii="Times New Roman" w:hAnsi="Times New Roman" w:cs="宋体"/>
                <w:szCs w:val="21"/>
                <w:lang w:val="en-US" w:eastAsia="zh-CN"/>
              </w:rPr>
              <w:t>10</w:t>
            </w:r>
            <w:r>
              <w:rPr>
                <w:rFonts w:hint="eastAsia" w:ascii="Times New Roman" w:hAnsi="Times New Roman" w:cs="宋体"/>
                <w:szCs w:val="21"/>
              </w:rPr>
              <w:t>分。</w:t>
            </w:r>
          </w:p>
          <w:p w14:paraId="504301FB">
            <w:pPr>
              <w:spacing w:line="360" w:lineRule="auto"/>
              <w:rPr>
                <w:rFonts w:ascii="Times New Roman" w:hAnsi="Times New Roman" w:cs="宋体"/>
                <w:szCs w:val="21"/>
              </w:rPr>
            </w:pPr>
            <w:r>
              <w:rPr>
                <w:rFonts w:hint="eastAsia" w:ascii="Times New Roman" w:hAnsi="Times New Roman" w:cs="宋体"/>
                <w:szCs w:val="21"/>
              </w:rPr>
              <w:t>注：请供应商严格按照要求提交相关证明材料，否则有可能影响评审结果。提供评价的证明文件复印件，并加盖公章。</w:t>
            </w:r>
          </w:p>
        </w:tc>
      </w:tr>
      <w:tr w14:paraId="21CBB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shd w:val="clear" w:color="auto" w:fill="auto"/>
          <w:tblCellMar>
            <w:top w:w="0" w:type="dxa"/>
            <w:left w:w="108" w:type="dxa"/>
            <w:bottom w:w="0" w:type="dxa"/>
            <w:right w:w="108" w:type="dxa"/>
          </w:tblCellMar>
        </w:tblPrEx>
        <w:trPr>
          <w:jc w:val="center"/>
        </w:trPr>
        <w:tc>
          <w:tcPr>
            <w:tcW w:w="1862" w:type="dxa"/>
            <w:shd w:val="clear" w:color="auto" w:fill="auto"/>
            <w:noWrap/>
            <w:vAlign w:val="center"/>
          </w:tcPr>
          <w:p w14:paraId="3761F983">
            <w:pPr>
              <w:spacing w:line="360" w:lineRule="auto"/>
              <w:jc w:val="center"/>
              <w:rPr>
                <w:rFonts w:hint="eastAsia" w:ascii="Times New Roman" w:hAnsi="Times New Roman" w:cs="宋体"/>
                <w:szCs w:val="21"/>
              </w:rPr>
            </w:pPr>
            <w:r>
              <w:rPr>
                <w:rFonts w:hint="eastAsia" w:ascii="Times New Roman" w:hAnsi="Times New Roman" w:cs="宋体"/>
                <w:szCs w:val="21"/>
              </w:rPr>
              <w:t>价格部分</w:t>
            </w:r>
          </w:p>
          <w:p w14:paraId="001ED6C5">
            <w:pPr>
              <w:spacing w:line="360" w:lineRule="auto"/>
              <w:jc w:val="center"/>
              <w:rPr>
                <w:rFonts w:ascii="Times New Roman" w:hAnsi="Times New Roman" w:cs="宋体"/>
                <w:szCs w:val="21"/>
              </w:rPr>
            </w:pPr>
            <w:r>
              <w:rPr>
                <w:rFonts w:hint="eastAsia" w:ascii="Times New Roman" w:hAnsi="Times New Roman" w:cs="宋体"/>
                <w:szCs w:val="21"/>
              </w:rPr>
              <w:t>（</w:t>
            </w:r>
            <w:r>
              <w:rPr>
                <w:rFonts w:hint="eastAsia" w:cs="宋体"/>
                <w:szCs w:val="21"/>
                <w:lang w:val="en-US" w:eastAsia="zh-CN"/>
              </w:rPr>
              <w:t>2</w:t>
            </w:r>
            <w:r>
              <w:rPr>
                <w:rFonts w:hint="eastAsia" w:ascii="Times New Roman" w:hAnsi="Times New Roman" w:cs="宋体"/>
                <w:szCs w:val="21"/>
              </w:rPr>
              <w:t>0分）</w:t>
            </w:r>
          </w:p>
        </w:tc>
        <w:tc>
          <w:tcPr>
            <w:tcW w:w="1836" w:type="dxa"/>
            <w:shd w:val="clear" w:color="auto" w:fill="auto"/>
            <w:noWrap/>
            <w:vAlign w:val="center"/>
          </w:tcPr>
          <w:p w14:paraId="37BA0D18">
            <w:pPr>
              <w:spacing w:line="360" w:lineRule="auto"/>
              <w:jc w:val="center"/>
              <w:rPr>
                <w:rFonts w:hint="eastAsia" w:ascii="Times New Roman" w:hAnsi="Times New Roman" w:cs="宋体"/>
                <w:szCs w:val="21"/>
              </w:rPr>
            </w:pPr>
            <w:r>
              <w:rPr>
                <w:rFonts w:hint="eastAsia" w:ascii="Times New Roman" w:hAnsi="Times New Roman" w:cs="宋体"/>
                <w:szCs w:val="21"/>
              </w:rPr>
              <w:t>报价得分</w:t>
            </w:r>
          </w:p>
          <w:p w14:paraId="113F52E1">
            <w:pPr>
              <w:spacing w:line="360" w:lineRule="auto"/>
              <w:jc w:val="center"/>
              <w:rPr>
                <w:rFonts w:ascii="Times New Roman" w:hAnsi="Times New Roman" w:cs="宋体"/>
                <w:szCs w:val="21"/>
              </w:rPr>
            </w:pPr>
            <w:r>
              <w:rPr>
                <w:rFonts w:hint="eastAsia" w:ascii="Times New Roman" w:hAnsi="Times New Roman" w:cs="宋体"/>
                <w:szCs w:val="21"/>
              </w:rPr>
              <w:t>(</w:t>
            </w:r>
            <w:r>
              <w:rPr>
                <w:rFonts w:hint="eastAsia" w:cs="宋体"/>
                <w:szCs w:val="21"/>
                <w:lang w:val="en-US" w:eastAsia="zh-CN"/>
              </w:rPr>
              <w:t>2</w:t>
            </w:r>
            <w:r>
              <w:rPr>
                <w:rFonts w:hint="eastAsia" w:ascii="Times New Roman" w:hAnsi="Times New Roman" w:cs="宋体"/>
                <w:szCs w:val="21"/>
              </w:rPr>
              <w:t>0分)</w:t>
            </w:r>
          </w:p>
        </w:tc>
        <w:tc>
          <w:tcPr>
            <w:tcW w:w="5750" w:type="dxa"/>
            <w:shd w:val="clear" w:color="auto" w:fill="auto"/>
            <w:noWrap/>
          </w:tcPr>
          <w:p w14:paraId="30D08073">
            <w:pPr>
              <w:spacing w:line="360" w:lineRule="auto"/>
              <w:rPr>
                <w:rFonts w:hint="default" w:ascii="Times New Roman" w:hAnsi="Times New Roman" w:eastAsia="宋体" w:cs="宋体"/>
                <w:szCs w:val="21"/>
                <w:lang w:val="en-US" w:eastAsia="zh-CN"/>
              </w:rPr>
            </w:pPr>
            <w:r>
              <w:rPr>
                <w:rFonts w:hint="eastAsia" w:ascii="Times New Roman" w:hAnsi="Times New Roman" w:cs="宋体"/>
                <w:szCs w:val="21"/>
              </w:rPr>
              <w:t>投标报价得分＝（评标基准价/总报价）×价格分值</w:t>
            </w:r>
            <w:r>
              <w:rPr>
                <w:rFonts w:hint="eastAsia" w:ascii="Times New Roman" w:hAnsi="Times New Roman" w:cs="宋体"/>
                <w:szCs w:val="21"/>
                <w:lang w:eastAsia="zh-CN"/>
              </w:rPr>
              <w:t>（</w:t>
            </w:r>
            <w:r>
              <w:rPr>
                <w:rFonts w:hint="eastAsia" w:cs="宋体"/>
                <w:szCs w:val="21"/>
                <w:lang w:val="en-US" w:eastAsia="zh-CN"/>
              </w:rPr>
              <w:t>2</w:t>
            </w:r>
            <w:r>
              <w:rPr>
                <w:rFonts w:hint="eastAsia" w:ascii="Times New Roman" w:hAnsi="Times New Roman" w:cs="宋体"/>
                <w:szCs w:val="21"/>
                <w:lang w:val="en-US" w:eastAsia="zh-CN"/>
              </w:rPr>
              <w:t>0）</w:t>
            </w:r>
          </w:p>
          <w:p w14:paraId="638D75E0">
            <w:pPr>
              <w:spacing w:line="360" w:lineRule="auto"/>
              <w:rPr>
                <w:rFonts w:ascii="Times New Roman" w:hAnsi="Times New Roman" w:cs="宋体"/>
                <w:szCs w:val="21"/>
              </w:rPr>
            </w:pPr>
            <w:r>
              <w:rPr>
                <w:rFonts w:hint="eastAsia" w:ascii="Times New Roman" w:hAnsi="Times New Roman" w:cs="宋体"/>
                <w:szCs w:val="21"/>
              </w:rPr>
              <w:t>【注：满足要求且价格最低的总报价为评标基准价。】最低报价不是</w:t>
            </w:r>
            <w:r>
              <w:rPr>
                <w:rFonts w:hint="eastAsia" w:ascii="Times New Roman" w:hAnsi="Times New Roman" w:cs="宋体"/>
                <w:szCs w:val="21"/>
                <w:lang w:eastAsia="zh-CN"/>
              </w:rPr>
              <w:t>成交</w:t>
            </w:r>
            <w:r>
              <w:rPr>
                <w:rFonts w:hint="eastAsia" w:ascii="Times New Roman" w:hAnsi="Times New Roman" w:cs="宋体"/>
                <w:szCs w:val="21"/>
              </w:rPr>
              <w:t>的唯一依据。</w:t>
            </w:r>
          </w:p>
        </w:tc>
      </w:tr>
    </w:tbl>
    <w:p w14:paraId="67BDC2C8">
      <w:pPr>
        <w:rPr>
          <w:rFonts w:hint="eastAsia" w:ascii="微软雅黑" w:hAnsi="微软雅黑" w:eastAsia="微软雅黑" w:cs="微软雅黑"/>
          <w:i w:val="0"/>
          <w:iCs w:val="0"/>
          <w:caps w:val="0"/>
          <w:color w:val="2B2B2B"/>
          <w:spacing w:val="0"/>
          <w:sz w:val="24"/>
          <w:szCs w:val="24"/>
          <w:shd w:val="clear" w:fill="FFFFFF"/>
          <w:lang w:val="en-US" w:eastAsia="zh-CN"/>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7736">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01F58">
                          <w:pPr>
                            <w:pStyle w:val="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501F58">
                    <w:pPr>
                      <w:pStyle w:val="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11E83">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2314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6788911"/>
    <w:multiLevelType w:val="singleLevel"/>
    <w:tmpl w:val="1678891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4270380"/>
    <w:rsid w:val="09AE6AAA"/>
    <w:rsid w:val="108C1CE9"/>
    <w:rsid w:val="1CF35818"/>
    <w:rsid w:val="1EC341D8"/>
    <w:rsid w:val="21AC6893"/>
    <w:rsid w:val="21F71A28"/>
    <w:rsid w:val="275072F5"/>
    <w:rsid w:val="33557238"/>
    <w:rsid w:val="3DBF0FE8"/>
    <w:rsid w:val="4E7B6A3F"/>
    <w:rsid w:val="5AB36DD5"/>
    <w:rsid w:val="6044285D"/>
    <w:rsid w:val="6E676122"/>
    <w:rsid w:val="71321BD9"/>
    <w:rsid w:val="7BAD3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link w:val="16"/>
    <w:semiHidden/>
    <w:unhideWhenUsed/>
    <w:qFormat/>
    <w:uiPriority w:val="0"/>
    <w:pPr>
      <w:keepNext/>
      <w:keepLines/>
      <w:spacing w:line="480" w:lineRule="auto"/>
      <w:jc w:val="center"/>
      <w:outlineLvl w:val="1"/>
    </w:pPr>
    <w:rPr>
      <w:rFonts w:ascii="Arial" w:hAnsi="Arial" w:eastAsia="宋体"/>
      <w:b/>
      <w:bCs/>
      <w:sz w:val="32"/>
      <w:szCs w:val="32"/>
    </w:rPr>
  </w:style>
  <w:style w:type="paragraph" w:styleId="5">
    <w:name w:val="heading 3"/>
    <w:basedOn w:val="1"/>
    <w:next w:val="1"/>
    <w:link w:val="17"/>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Body Text"/>
    <w:basedOn w:val="1"/>
    <w:next w:val="1"/>
    <w:qFormat/>
    <w:uiPriority w:val="0"/>
    <w:pPr>
      <w:spacing w:after="120" w:afterLines="0" w:afterAutospacing="0"/>
    </w:pPr>
  </w:style>
  <w:style w:type="paragraph" w:styleId="7">
    <w:name w:val="Body Text Indent"/>
    <w:basedOn w:val="1"/>
    <w:next w:val="8"/>
    <w:qFormat/>
    <w:uiPriority w:val="99"/>
    <w:pPr>
      <w:spacing w:after="120"/>
      <w:ind w:left="420" w:leftChars="200"/>
    </w:pPr>
    <w:rPr>
      <w:rFonts w:cs="Times New Roman"/>
    </w:rPr>
  </w:style>
  <w:style w:type="paragraph" w:styleId="8">
    <w:name w:val="Body Text First Indent 2"/>
    <w:basedOn w:val="7"/>
    <w:next w:val="1"/>
    <w:qFormat/>
    <w:uiPriority w:val="0"/>
    <w:pPr>
      <w:spacing w:after="0"/>
      <w:ind w:left="824" w:leftChars="400" w:firstLine="420" w:firstLineChars="200"/>
    </w:pPr>
    <w:rPr>
      <w:rFonts w:ascii="宋体" w:hAnsi="宋体"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标题 2 Char"/>
    <w:link w:val="3"/>
    <w:qFormat/>
    <w:uiPriority w:val="0"/>
    <w:rPr>
      <w:rFonts w:ascii="Arial" w:hAnsi="Arial" w:eastAsia="宋体" w:cs="Times New Roman"/>
      <w:b/>
      <w:bCs/>
      <w:sz w:val="32"/>
      <w:szCs w:val="32"/>
    </w:rPr>
  </w:style>
  <w:style w:type="character" w:customStyle="1" w:styleId="17">
    <w:name w:val="标题 3 Char"/>
    <w:link w:val="5"/>
    <w:qFormat/>
    <w:uiPriority w:val="0"/>
    <w:rPr>
      <w:rFonts w:eastAsia="宋体"/>
      <w:b/>
      <w:sz w:val="28"/>
    </w:rPr>
  </w:style>
  <w:style w:type="paragraph" w:styleId="18">
    <w:name w:val="List Paragraph"/>
    <w:basedOn w:val="1"/>
    <w:autoRedefine/>
    <w:qFormat/>
    <w:uiPriority w:val="34"/>
    <w:pPr>
      <w:ind w:firstLine="420" w:firstLineChars="200"/>
    </w:pPr>
    <w:rPr>
      <w:rFonts w:eastAsia="黑体"/>
      <w:bCs/>
      <w:sz w:val="30"/>
      <w:szCs w:val="30"/>
    </w:rPr>
  </w:style>
  <w:style w:type="character" w:customStyle="1" w:styleId="19">
    <w:name w:val="font51"/>
    <w:basedOn w:val="14"/>
    <w:qFormat/>
    <w:uiPriority w:val="0"/>
    <w:rPr>
      <w:rFonts w:hint="eastAsia" w:ascii="宋体" w:hAnsi="宋体" w:eastAsia="宋体" w:cs="宋体"/>
      <w:color w:val="000000"/>
      <w:sz w:val="24"/>
      <w:szCs w:val="24"/>
      <w:u w:val="none"/>
    </w:rPr>
  </w:style>
  <w:style w:type="character" w:customStyle="1" w:styleId="20">
    <w:name w:val="font61"/>
    <w:basedOn w:val="14"/>
    <w:qFormat/>
    <w:uiPriority w:val="0"/>
    <w:rPr>
      <w:rFonts w:hint="eastAsia" w:ascii="宋体" w:hAnsi="宋体" w:eastAsia="宋体" w:cs="宋体"/>
      <w:color w:val="000000"/>
      <w:sz w:val="24"/>
      <w:szCs w:val="24"/>
      <w:u w:val="none"/>
    </w:rPr>
  </w:style>
  <w:style w:type="character" w:customStyle="1" w:styleId="21">
    <w:name w:val="font41"/>
    <w:basedOn w:val="1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3546</Words>
  <Characters>3647</Characters>
  <Lines>0</Lines>
  <Paragraphs>0</Paragraphs>
  <TotalTime>2</TotalTime>
  <ScaleCrop>false</ScaleCrop>
  <LinksUpToDate>false</LinksUpToDate>
  <CharactersWithSpaces>3648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蔓蔓青萝</cp:lastModifiedBy>
  <dcterms:modified xsi:type="dcterms:W3CDTF">2026-08-25T01:14:15Z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0078322C9F994E56A3840D7AAA500C19_11</vt:lpwstr>
  </property>
  <property fmtid="{D5CDD505-2E9C-101B-9397-08002B2CF9AE}" pid="4" name="KSOTemplateDocerSaveRecord">
    <vt:lpwstr>eyJoZGlkIjoiN2M1YWNmZTFiMDBlYjdkNDJjOTA0ZjFkNDA2N2FmZWUiLCJ1c2VySWQiOiI2NDkzNjEyODAifQ==</vt:lpwstr>
  </property>
</Properties>
</file>