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54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rPr>
      </w:pPr>
      <w:r>
        <w:rPr>
          <w:rFonts w:hint="eastAsia" w:ascii="仿宋_GB2312" w:hAnsi="仿宋_GB2312" w:eastAsia="仿宋_GB2312" w:cs="仿宋_GB2312"/>
          <w:i w:val="0"/>
          <w:iCs w:val="0"/>
          <w:caps w:val="0"/>
          <w:color w:val="2B2B2B"/>
          <w:spacing w:val="0"/>
          <w:sz w:val="28"/>
          <w:szCs w:val="28"/>
          <w:shd w:val="clear" w:fill="FFFFFF"/>
        </w:rPr>
        <w:t>附件1</w:t>
      </w:r>
    </w:p>
    <w:p w14:paraId="5A2AB87B">
      <w:pPr>
        <w:spacing w:line="480" w:lineRule="exact"/>
        <w:jc w:val="center"/>
        <w:rPr>
          <w:rFonts w:hint="eastAsia" w:ascii="微软雅黑" w:hAnsi="微软雅黑" w:eastAsia="微软雅黑" w:cs="微软雅黑"/>
          <w:b/>
          <w:color w:val="auto"/>
          <w:sz w:val="28"/>
          <w:szCs w:val="28"/>
          <w:lang w:val="en-US" w:eastAsia="zh-CN"/>
        </w:rPr>
      </w:pPr>
      <w:r>
        <w:rPr>
          <w:rFonts w:hint="eastAsia" w:ascii="黑体" w:hAnsi="黑体" w:eastAsia="黑体" w:cs="黑体"/>
          <w:b w:val="0"/>
          <w:bCs/>
          <w:color w:val="auto"/>
          <w:sz w:val="28"/>
          <w:szCs w:val="28"/>
          <w:lang w:val="en-US" w:eastAsia="zh-CN"/>
        </w:rPr>
        <w:t>项目需求书</w:t>
      </w:r>
    </w:p>
    <w:p w14:paraId="275D203D">
      <w:pPr>
        <w:pStyle w:val="19"/>
        <w:widowControl/>
        <w:numPr>
          <w:ilvl w:val="0"/>
          <w:numId w:val="1"/>
        </w:numPr>
        <w:spacing w:line="360" w:lineRule="auto"/>
        <w:ind w:firstLineChars="0"/>
        <w:jc w:val="left"/>
        <w:rPr>
          <w:rFonts w:hint="eastAsia" w:ascii="仿宋_GB2312" w:hAnsi="仿宋_GB2312" w:eastAsia="仿宋_GB2312" w:cs="仿宋_GB2312"/>
          <w:b/>
          <w:bCs w:val="0"/>
          <w:color w:val="auto"/>
          <w:kern w:val="2"/>
          <w:sz w:val="28"/>
          <w:szCs w:val="28"/>
          <w:lang w:val="en-US" w:eastAsia="zh-CN" w:bidi="ar-SA"/>
        </w:rPr>
      </w:pPr>
      <w:r>
        <w:rPr>
          <w:rFonts w:hint="eastAsia" w:ascii="仿宋_GB2312" w:hAnsi="仿宋_GB2312" w:eastAsia="仿宋_GB2312" w:cs="仿宋_GB2312"/>
          <w:b/>
          <w:bCs w:val="0"/>
          <w:color w:val="auto"/>
          <w:kern w:val="2"/>
          <w:sz w:val="28"/>
          <w:szCs w:val="28"/>
          <w:lang w:val="en-US" w:eastAsia="zh-CN" w:bidi="ar-SA"/>
        </w:rPr>
        <w:t>项目基本情况</w:t>
      </w:r>
    </w:p>
    <w:tbl>
      <w:tblPr>
        <w:tblStyle w:val="14"/>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0"/>
        <w:gridCol w:w="5723"/>
      </w:tblGrid>
      <w:tr w14:paraId="02A8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230" w:type="dxa"/>
          </w:tcPr>
          <w:p w14:paraId="66EAFF37">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5723" w:type="dxa"/>
          </w:tcPr>
          <w:p w14:paraId="006DFF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中山市口腔医院2023-2025年档案整理及数字化加工服务</w:t>
            </w:r>
          </w:p>
        </w:tc>
      </w:tr>
      <w:tr w14:paraId="3799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14:paraId="44ECE8B7">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采购预算金额</w:t>
            </w:r>
          </w:p>
        </w:tc>
        <w:tc>
          <w:tcPr>
            <w:tcW w:w="5723" w:type="dxa"/>
          </w:tcPr>
          <w:p w14:paraId="4D49B931">
            <w:pPr>
              <w:spacing w:line="360" w:lineRule="auto"/>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96000元</w:t>
            </w:r>
          </w:p>
        </w:tc>
      </w:tr>
      <w:tr w14:paraId="5F4F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14:paraId="3BFC5E92">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报价最高限价</w:t>
            </w:r>
          </w:p>
        </w:tc>
        <w:tc>
          <w:tcPr>
            <w:tcW w:w="5723" w:type="dxa"/>
          </w:tcPr>
          <w:p w14:paraId="7DC1F74F">
            <w:pPr>
              <w:spacing w:line="36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96000元</w:t>
            </w:r>
          </w:p>
        </w:tc>
      </w:tr>
      <w:tr w14:paraId="21E5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953" w:type="dxa"/>
            <w:gridSpan w:val="2"/>
          </w:tcPr>
          <w:p w14:paraId="7B24291C">
            <w:pPr>
              <w:spacing w:line="36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FF0000"/>
                <w:sz w:val="28"/>
                <w:szCs w:val="28"/>
                <w:lang w:val="en-US" w:eastAsia="zh-CN"/>
              </w:rPr>
              <w:t>供应商报价不得超过“报价最高限价”，否则视为无效报价。</w:t>
            </w:r>
          </w:p>
        </w:tc>
      </w:tr>
    </w:tbl>
    <w:p w14:paraId="2A81CF6C">
      <w:pPr>
        <w:pStyle w:val="19"/>
        <w:widowControl/>
        <w:numPr>
          <w:ilvl w:val="0"/>
          <w:numId w:val="1"/>
        </w:numPr>
        <w:spacing w:line="360" w:lineRule="auto"/>
        <w:ind w:firstLineChars="0"/>
        <w:jc w:val="left"/>
        <w:rPr>
          <w:rFonts w:hint="eastAsia" w:ascii="仿宋_GB2312" w:hAnsi="仿宋_GB2312" w:eastAsia="仿宋_GB2312" w:cs="仿宋_GB2312"/>
          <w:b/>
          <w:bCs w:val="0"/>
          <w:color w:val="auto"/>
          <w:kern w:val="2"/>
          <w:sz w:val="28"/>
          <w:szCs w:val="28"/>
          <w:lang w:val="en-US" w:eastAsia="zh-CN" w:bidi="ar-SA"/>
        </w:rPr>
      </w:pPr>
      <w:r>
        <w:rPr>
          <w:rFonts w:hint="eastAsia" w:ascii="仿宋_GB2312" w:hAnsi="仿宋_GB2312" w:eastAsia="仿宋_GB2312" w:cs="仿宋_GB2312"/>
          <w:b/>
          <w:bCs w:val="0"/>
          <w:color w:val="auto"/>
          <w:kern w:val="2"/>
          <w:sz w:val="28"/>
          <w:szCs w:val="28"/>
          <w:lang w:val="en-US" w:eastAsia="zh-CN" w:bidi="ar-SA"/>
        </w:rPr>
        <w:t>采购需求</w:t>
      </w:r>
    </w:p>
    <w:p w14:paraId="69CB632E">
      <w:pPr>
        <w:keepNext w:val="0"/>
        <w:keepLines w:val="0"/>
        <w:pageBreakBefore w:val="0"/>
        <w:widowControl w:val="0"/>
        <w:numPr>
          <w:ilvl w:val="0"/>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采购项目需实现的功能和目标</w:t>
      </w:r>
    </w:p>
    <w:p w14:paraId="531C991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近年来我院文书档案、会计档案数量持续增长，现预估存有文书档案800件、科研档案20卷、基建档案100盒、设备档案30卷、会计档案1000件、人事业务材料800件、照片档案150张、音视频档案20条、实物档案50件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具体存量以实际情况为准。为保障档案管理工作的规范性和可持续性，现需采购档案整理及数字化加工服务，并同步建立健全“三合一”制度，即建立档案分类方案、文件材料归档范围和档案保管期限表等三项规范，确保规范和指导档案形成与收集、整理与归档、鉴定与销毁等工作。</w:t>
      </w:r>
    </w:p>
    <w:p w14:paraId="6157149C">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）采购标的汇总表</w:t>
      </w:r>
    </w:p>
    <w:tbl>
      <w:tblPr>
        <w:tblStyle w:val="13"/>
        <w:tblW w:w="9058"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4916"/>
        <w:gridCol w:w="1684"/>
        <w:gridCol w:w="1408"/>
      </w:tblGrid>
      <w:tr w14:paraId="746C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0" w:type="dxa"/>
            <w:shd w:val="clear" w:color="auto" w:fill="FFFFFF"/>
            <w:tcMar>
              <w:top w:w="0" w:type="dxa"/>
              <w:right w:w="0" w:type="dxa"/>
            </w:tcMar>
            <w:vAlign w:val="center"/>
          </w:tcPr>
          <w:p w14:paraId="26B972D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序号</w:t>
            </w:r>
          </w:p>
        </w:tc>
        <w:tc>
          <w:tcPr>
            <w:tcW w:w="4916" w:type="dxa"/>
            <w:shd w:val="clear" w:color="auto" w:fill="FFFFFF"/>
            <w:tcMar>
              <w:top w:w="0" w:type="dxa"/>
              <w:right w:w="0" w:type="dxa"/>
            </w:tcMar>
            <w:vAlign w:val="center"/>
          </w:tcPr>
          <w:p w14:paraId="0EA02EE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标的</w:t>
            </w:r>
            <w:r>
              <w:rPr>
                <w:rFonts w:hint="eastAsia" w:ascii="仿宋_GB2312" w:hAnsi="仿宋_GB2312" w:eastAsia="仿宋_GB2312" w:cs="仿宋_GB2312"/>
                <w:color w:val="000000" w:themeColor="text1"/>
                <w:kern w:val="0"/>
                <w:sz w:val="28"/>
                <w:szCs w:val="28"/>
                <w14:textFill>
                  <w14:solidFill>
                    <w14:schemeClr w14:val="tx1"/>
                  </w14:solidFill>
                </w14:textFill>
              </w:rPr>
              <w:t>名称</w:t>
            </w:r>
          </w:p>
        </w:tc>
        <w:tc>
          <w:tcPr>
            <w:tcW w:w="1684" w:type="dxa"/>
            <w:shd w:val="clear" w:color="auto" w:fill="FFFFFF"/>
            <w:tcMar>
              <w:top w:w="0" w:type="dxa"/>
              <w:right w:w="0" w:type="dxa"/>
            </w:tcMar>
            <w:vAlign w:val="center"/>
          </w:tcPr>
          <w:p w14:paraId="1C11DDE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计量单位</w:t>
            </w:r>
          </w:p>
        </w:tc>
        <w:tc>
          <w:tcPr>
            <w:tcW w:w="1408" w:type="dxa"/>
            <w:shd w:val="clear" w:color="auto" w:fill="FFFFFF"/>
            <w:tcMar>
              <w:top w:w="0" w:type="dxa"/>
              <w:right w:w="0" w:type="dxa"/>
            </w:tcMar>
            <w:vAlign w:val="center"/>
          </w:tcPr>
          <w:p w14:paraId="3E44F15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数量</w:t>
            </w:r>
          </w:p>
        </w:tc>
      </w:tr>
      <w:tr w14:paraId="468F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50" w:type="dxa"/>
            <w:shd w:val="clear" w:color="auto" w:fill="FFFFFF"/>
            <w:tcMar>
              <w:top w:w="0" w:type="dxa"/>
              <w:right w:w="0" w:type="dxa"/>
            </w:tcMar>
            <w:vAlign w:val="center"/>
          </w:tcPr>
          <w:p w14:paraId="4B3D11C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w:t>
            </w:r>
          </w:p>
        </w:tc>
        <w:tc>
          <w:tcPr>
            <w:tcW w:w="4916" w:type="dxa"/>
            <w:shd w:val="clear" w:color="auto" w:fill="FFFFFF"/>
            <w:tcMar>
              <w:top w:w="0" w:type="dxa"/>
              <w:right w:w="0" w:type="dxa"/>
            </w:tcMar>
            <w:vAlign w:val="center"/>
          </w:tcPr>
          <w:p w14:paraId="46B7D3E7">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lang w:eastAsia="zh-CN"/>
                <w14:textFill>
                  <w14:solidFill>
                    <w14:schemeClr w14:val="tx1"/>
                  </w14:solidFill>
                </w14:textFill>
              </w:rPr>
            </w:pPr>
            <w:r>
              <w:rPr>
                <w:rFonts w:hint="eastAsia" w:ascii="仿宋_GB2312" w:hAnsi="仿宋_GB2312" w:eastAsia="仿宋_GB2312" w:cs="仿宋_GB2312"/>
                <w:sz w:val="28"/>
                <w:szCs w:val="28"/>
                <w:lang w:val="en-US" w:eastAsia="zh-CN"/>
              </w:rPr>
              <w:t>中山市口腔医院2023-2025年档案整理及数字化加工服务</w:t>
            </w:r>
          </w:p>
        </w:tc>
        <w:tc>
          <w:tcPr>
            <w:tcW w:w="1684" w:type="dxa"/>
            <w:shd w:val="clear" w:color="auto" w:fill="FFFFFF"/>
            <w:tcMar>
              <w:top w:w="0" w:type="dxa"/>
              <w:right w:w="0" w:type="dxa"/>
            </w:tcMar>
            <w:vAlign w:val="center"/>
          </w:tcPr>
          <w:p w14:paraId="61C5166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w:t>
            </w:r>
          </w:p>
        </w:tc>
        <w:tc>
          <w:tcPr>
            <w:tcW w:w="1408" w:type="dxa"/>
            <w:shd w:val="clear" w:color="auto" w:fill="FFFFFF"/>
            <w:tcMar>
              <w:top w:w="0" w:type="dxa"/>
              <w:right w:w="0" w:type="dxa"/>
            </w:tcMar>
            <w:vAlign w:val="center"/>
          </w:tcPr>
          <w:p w14:paraId="702C949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项</w:t>
            </w:r>
          </w:p>
        </w:tc>
      </w:tr>
      <w:tr w14:paraId="1B01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058" w:type="dxa"/>
            <w:gridSpan w:val="4"/>
            <w:shd w:val="clear" w:color="auto" w:fill="FFFFFF"/>
            <w:tcMar>
              <w:top w:w="0" w:type="dxa"/>
              <w:right w:w="0" w:type="dxa"/>
            </w:tcMar>
            <w:vAlign w:val="center"/>
          </w:tcPr>
          <w:p w14:paraId="033D6F8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auto"/>
                <w:kern w:val="0"/>
                <w:sz w:val="28"/>
                <w:szCs w:val="28"/>
                <w:lang w:val="en-US" w:eastAsia="zh-CN"/>
              </w:rPr>
              <w:t>报价要求：报价包括</w:t>
            </w:r>
            <w:r>
              <w:rPr>
                <w:rFonts w:hint="eastAsia" w:ascii="仿宋_GB2312" w:hAnsi="仿宋_GB2312" w:eastAsia="仿宋_GB2312" w:cs="仿宋_GB2312"/>
                <w:sz w:val="28"/>
                <w:szCs w:val="28"/>
              </w:rPr>
              <w:t>文书档案整理与扫描、各类专业档案整理（包括照片档案、实物档案、音视频档案、会计档案、采购档案、基建工程档案、设备档案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科研档案</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）、全宗卷整理与扫描、档案打印及制作库房索引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同时配置档案管理软件单机版及相关材料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kern w:val="0"/>
                <w:sz w:val="28"/>
                <w:szCs w:val="28"/>
                <w:lang w:val="en-US" w:eastAsia="zh-CN"/>
              </w:rPr>
              <w:t>应向中华人民共和国政府缴纳的增值税和其它税等全部税费、以及履行合同所需的费用、所有风险、责任等其他一切隐含及不可预见的费用。</w:t>
            </w:r>
          </w:p>
        </w:tc>
      </w:tr>
    </w:tbl>
    <w:p w14:paraId="3396580B">
      <w:pPr>
        <w:spacing w:line="360" w:lineRule="auto"/>
        <w:rPr>
          <w:rFonts w:hint="eastAsia" w:ascii="仿宋_GB2312" w:hAnsi="仿宋_GB2312" w:eastAsia="仿宋_GB2312" w:cs="仿宋_GB2312"/>
          <w:sz w:val="28"/>
          <w:szCs w:val="28"/>
        </w:rPr>
        <w:sectPr>
          <w:headerReference r:id="rId5" w:type="default"/>
          <w:footerReference r:id="rId6" w:type="default"/>
          <w:pgSz w:w="11900" w:h="16840"/>
          <w:pgMar w:top="1440" w:right="1800" w:bottom="1440" w:left="1800" w:header="851" w:footer="992" w:gutter="0"/>
          <w:pgNumType w:fmt="decimal" w:start="1"/>
          <w:cols w:space="425" w:num="1"/>
          <w:docGrid w:type="lines" w:linePitch="312" w:charSpace="0"/>
        </w:sectPr>
      </w:pPr>
    </w:p>
    <w:p w14:paraId="6D966B24">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）技术要求与商务要求</w:t>
      </w:r>
    </w:p>
    <w:tbl>
      <w:tblPr>
        <w:tblStyle w:val="13"/>
        <w:tblW w:w="5200" w:type="pct"/>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7"/>
      </w:tblGrid>
      <w:tr w14:paraId="248C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C6863DF">
            <w:pPr>
              <w:adjustRightInd w:val="0"/>
              <w:snapToGrid w:val="0"/>
              <w:ind w:right="120" w:rightChars="5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一、项目概况及服务内容</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0"/>
              <w:gridCol w:w="1911"/>
              <w:gridCol w:w="6077"/>
            </w:tblGrid>
            <w:tr w14:paraId="343B2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9548C2">
                  <w:pPr>
                    <w:keepNext w:val="0"/>
                    <w:keepLines w:val="0"/>
                    <w:widowControl/>
                    <w:suppressLineNumbers w:val="0"/>
                    <w:spacing w:line="240" w:lineRule="auto"/>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序号</w:t>
                  </w:r>
                </w:p>
              </w:tc>
              <w:tc>
                <w:tcPr>
                  <w:tcW w:w="11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D26D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类别</w:t>
                  </w:r>
                </w:p>
              </w:tc>
              <w:tc>
                <w:tcPr>
                  <w:tcW w:w="3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28108">
                  <w:pPr>
                    <w:keepNext w:val="0"/>
                    <w:keepLines w:val="0"/>
                    <w:widowControl/>
                    <w:suppressLineNumbers w:val="0"/>
                    <w:spacing w:line="240" w:lineRule="auto"/>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内容说明</w:t>
                  </w:r>
                </w:p>
              </w:tc>
            </w:tr>
            <w:tr w14:paraId="371A9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40322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1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37CC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制定三合一标准</w:t>
                  </w:r>
                </w:p>
              </w:tc>
              <w:tc>
                <w:tcPr>
                  <w:tcW w:w="3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97CCE5">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协助完善单位的三合一档案管理制度的制定，对接各科室收集材料、档案系统设置。</w:t>
                  </w:r>
                </w:p>
              </w:tc>
            </w:tr>
            <w:tr w14:paraId="544D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6C3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F081D">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文书档案整理</w:t>
                  </w:r>
                </w:p>
              </w:tc>
              <w:tc>
                <w:tcPr>
                  <w:tcW w:w="3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03B18">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分年度、打码、著录、打印和粘贴档号条码、打印目录、装盒、目录装订</w:t>
                  </w:r>
                </w:p>
              </w:tc>
            </w:tr>
            <w:tr w14:paraId="2FAA7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2135E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B013D">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文书档案扫描</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290B061B">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A4馈纸式高速扫描，上传系统</w:t>
                  </w:r>
                </w:p>
              </w:tc>
            </w:tr>
            <w:tr w14:paraId="2ECA8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691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37506">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文书档案打印</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221B7A02">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OA系统筛选、下载打印</w:t>
                  </w:r>
                </w:p>
              </w:tc>
            </w:tr>
            <w:tr w14:paraId="170C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6115E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5A9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照片档案整理</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4430C993">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著录、打印目录、装盒、目录装订</w:t>
                  </w:r>
                </w:p>
              </w:tc>
            </w:tr>
            <w:tr w14:paraId="1072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5CA2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F0A5A">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实物档案整理</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7A1FC4AD">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含拍照、编号、著录上传归档、目录打印</w:t>
                  </w:r>
                </w:p>
              </w:tc>
            </w:tr>
            <w:tr w14:paraId="1EF3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BFE3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D5DE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音视频档案整理</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57864FAE">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著录、打印目录、装盒、目录装订</w:t>
                  </w:r>
                </w:p>
              </w:tc>
            </w:tr>
            <w:tr w14:paraId="0D566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8D763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A8B38">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会计档案整理</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32250BB9">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著录、粘贴档号条码、打印目录、装盒、目录装订</w:t>
                  </w:r>
                </w:p>
              </w:tc>
            </w:tr>
            <w:tr w14:paraId="7A087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D6F1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78DF3">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采购档案整理</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2C4D7A7A">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单件归档（打码、著录、打印和粘贴档号条码、打印目录、装盒、目录装订</w:t>
                  </w:r>
                </w:p>
              </w:tc>
            </w:tr>
            <w:tr w14:paraId="780E0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020F5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188F">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基建工程档案</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04A45649">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分项立卷、编页码、案卷和卷内目录著录、打印粘贴(档号条码、目录、封面、档案盒背脊)、装订、装盒</w:t>
                  </w:r>
                </w:p>
              </w:tc>
            </w:tr>
            <w:tr w14:paraId="5CB44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3F02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3A50F">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设备档案整理</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2C72DF26">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分项立卷、编页码、案卷和卷内目录著录、打印粘贴(档号条码、目录、封面、档案盒背脊)、装订、装盒</w:t>
                  </w:r>
                </w:p>
              </w:tc>
            </w:tr>
            <w:tr w14:paraId="35402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5CC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DE8B">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科研档案整理</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40DB13C1">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分项立卷、编页码、案卷和卷内目录著录、打印粘贴(档号条码、目录、封面、档案盒背脊)、装订、装盒</w:t>
                  </w:r>
                </w:p>
              </w:tc>
            </w:tr>
            <w:tr w14:paraId="5D95B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85B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06E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A4档案扫描</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605ACF5A">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A4馈纸式高速扫描，上传系统</w:t>
                  </w:r>
                </w:p>
              </w:tc>
            </w:tr>
            <w:tr w14:paraId="4C62E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E4CA6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C90C3">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全宗卷整理</w:t>
                  </w:r>
                </w:p>
              </w:tc>
              <w:tc>
                <w:tcPr>
                  <w:tcW w:w="3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B9571">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分年度、打码、著录、打印和粘贴档号条码、打印目录、装盒、目录装订</w:t>
                  </w:r>
                </w:p>
              </w:tc>
            </w:tr>
            <w:tr w14:paraId="66EFD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28BFA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CFC0">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全宗卷扫描</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5DC7CFA2">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A4馈纸式高速扫描，上传系统</w:t>
                  </w:r>
                </w:p>
              </w:tc>
            </w:tr>
            <w:tr w14:paraId="5564F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F8D6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09E8">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制作库房索引</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09FB3188">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制作库房索引</w:t>
                  </w:r>
                </w:p>
              </w:tc>
            </w:tr>
            <w:tr w14:paraId="418F8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DBDF6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26F0">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档案管理软件单机版</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23D34115">
                  <w:pPr>
                    <w:spacing w:line="240" w:lineRule="auto"/>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档案管理软件单机版</w:t>
                  </w:r>
                </w:p>
              </w:tc>
            </w:tr>
            <w:tr w14:paraId="3992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1D5BB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C1F33">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材料</w:t>
                  </w:r>
                </w:p>
              </w:tc>
              <w:tc>
                <w:tcPr>
                  <w:tcW w:w="3517" w:type="pct"/>
                  <w:tcBorders>
                    <w:top w:val="single" w:color="000000" w:sz="4" w:space="0"/>
                    <w:left w:val="nil"/>
                    <w:bottom w:val="single" w:color="000000" w:sz="4" w:space="0"/>
                    <w:right w:val="single" w:color="000000" w:sz="4" w:space="0"/>
                  </w:tcBorders>
                  <w:shd w:val="clear" w:color="auto" w:fill="auto"/>
                  <w:vAlign w:val="center"/>
                </w:tcPr>
                <w:p w14:paraId="75F67473">
                  <w:pPr>
                    <w:keepNext w:val="0"/>
                    <w:keepLines w:val="0"/>
                    <w:widowControl/>
                    <w:suppressLineNumbers w:val="0"/>
                    <w:spacing w:line="24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档案盒、目录夹、软卷、牛皮纸、装订线、锥子、白胶、板刷、不锈钢钉、打码机等。</w:t>
                  </w:r>
                </w:p>
              </w:tc>
            </w:tr>
          </w:tbl>
          <w:p w14:paraId="6520C7EA">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right="120" w:rightChars="5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服务方案要求</w:t>
            </w:r>
          </w:p>
          <w:p w14:paraId="6F585DE9">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（一）进场准备要求</w:t>
            </w:r>
          </w:p>
          <w:p w14:paraId="66EFE3F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（1）中标供应商须在合同签订之日起7个工作日内配备驻场档案人员。</w:t>
            </w:r>
          </w:p>
          <w:p w14:paraId="3CDB723B">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（2）中标供应商须指定至少1名档案工作人员，负责项目协调、文件收集等日常对接工作。</w:t>
            </w:r>
          </w:p>
          <w:p w14:paraId="4E50D06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（3）中标供应商须自行配备档案整理所需全部耗材、用品和工具，包括但不限于档案盒、目录册、不锈钢钉、胶水、牛皮纸、装订线、电脑、扫描仪、打印机、切纸刀、档案整理工具箱等。</w:t>
            </w:r>
          </w:p>
          <w:p w14:paraId="0190FCD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中标供应商须在工作场所安装视频监控系统，覆盖出入口、档案存放区、信息存储区及工作区，实施全方位监控，接受采购人监管。视频监控数据自产生之日起保存不少于6个月，数据及回放记录须定期移交采购人保存。</w:t>
            </w:r>
          </w:p>
          <w:p w14:paraId="7BB1203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（二）驻场人员管理要求</w:t>
            </w:r>
          </w:p>
          <w:p w14:paraId="7E050BE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（1）驻场人员在上岗前须到党政办公室接受岗前培训。</w:t>
            </w:r>
          </w:p>
          <w:p w14:paraId="7D8F6DE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（2）经培训后，归口管理科室发现其不能胜任相关工作的，有权要求成交供应商更换符合资格的驻场人员。</w:t>
            </w:r>
          </w:p>
          <w:p w14:paraId="446443D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驻场人员被医院有关部门或科室投诉达的，经采购人调查核实，若情况属实的将通知成交供应商，成交供应商接通知后在24小时内未能提供相关解决方案的，采购人有权要求更换驻场人员并按本项第5款的约定扣罚成交供应商的违约金。</w:t>
            </w:r>
          </w:p>
          <w:p w14:paraId="4753D6BC">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（4）若须更换驻场人员的，经采购人要求或同意更换的人员，其代替人员的资质仍应得到采购人的认可，且其资历和经验均不低于被更换人员。由此而产生的费用由成交供应商承担。</w:t>
            </w:r>
          </w:p>
          <w:p w14:paraId="552CD165">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在履行合同过程中成交供应商委派的驻场人员被医院有关部门或科室投诉的，或经归口管理科室核心小组一致确认其无法胜任工作的，除更换人员外采购人还有权扣罚其合同金额的5%作为违约金，情节严重的采购人有权终止合同。</w:t>
            </w:r>
          </w:p>
          <w:p w14:paraId="3D4E9019">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（三）工作技术标准</w:t>
            </w:r>
          </w:p>
          <w:p w14:paraId="401D653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中标供应商在项目实施过程中，须严格执行以下国家标准及行业规范，包括但不限于：</w:t>
            </w:r>
          </w:p>
          <w:p w14:paraId="29FA13F3">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（1）DA/T 2-2023《科学技术研究项目档案管理规范》；</w:t>
            </w:r>
          </w:p>
          <w:p w14:paraId="5EC29D9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（2）DA/T 18-2022《档案著录规则》；</w:t>
            </w:r>
          </w:p>
          <w:p w14:paraId="4718A22D">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（3）DA/T 22-2015《归档文件整理规则》；</w:t>
            </w:r>
          </w:p>
          <w:p w14:paraId="464E97E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（4）DA/T 28-2018《建设项目档案管理规范》；</w:t>
            </w:r>
          </w:p>
          <w:p w14:paraId="262AD69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（5）DA/T 68-2020《档案服务外包工作规范第2部分 档案数字化服务》；</w:t>
            </w:r>
          </w:p>
          <w:p w14:paraId="107ECDA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（6）DA/T 68-2022《档案服务外包工作规范第4部分 档案整理服务》；</w:t>
            </w:r>
          </w:p>
          <w:p w14:paraId="061014F0">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（7）DA/T 69-2018《纸质归档文件装订规范》；</w:t>
            </w:r>
          </w:p>
          <w:p w14:paraId="6DB4061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（8）DA/T 31-2017《纸质档案数字化规范》；</w:t>
            </w:r>
          </w:p>
          <w:p w14:paraId="4FE203B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（9）DA/T 62-2017《录音录像档案数字化规范》；</w:t>
            </w:r>
          </w:p>
          <w:p w14:paraId="3671801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（10）DA/T 89-2022《实物档案数字化规范》。</w:t>
            </w:r>
          </w:p>
          <w:p w14:paraId="2CA8297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（四）档案整理工作原则</w:t>
            </w:r>
          </w:p>
          <w:p w14:paraId="76AFC5E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（1）遵循文件形成规律，保持文件之间的有机联系；</w:t>
            </w:r>
          </w:p>
          <w:p w14:paraId="5D1413D0">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（2）区分不同价值，便于保管和利用；</w:t>
            </w:r>
          </w:p>
          <w:p w14:paraId="6BB6FF8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（3）符合文档一体化管理要求，便于计算机管理或计算机辅助管理；</w:t>
            </w:r>
          </w:p>
          <w:p w14:paraId="089AD50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（4）保证纸质文件和电子文件整理协调统一；</w:t>
            </w:r>
          </w:p>
          <w:p w14:paraId="50CE936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（5）严格执行保密相关标准及规范；</w:t>
            </w:r>
          </w:p>
          <w:p w14:paraId="369C5993">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（6）严格遵守工作纪律，严格按流程进度执行。</w:t>
            </w:r>
          </w:p>
          <w:p w14:paraId="499FF7EC">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（五）项目实施流程要求</w:t>
            </w:r>
          </w:p>
          <w:p w14:paraId="76C773DF">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1.档案交接</w:t>
            </w:r>
          </w:p>
          <w:p w14:paraId="5F192ECF">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（1）中标供应商开展档案整理服务时，须派专职人员向采购人借出需整理的档案，并协助采购人工作人员从各科室搬运档案。</w:t>
            </w:r>
          </w:p>
          <w:p w14:paraId="5B2C006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（2）中标供应商须在采购人指定的工作地点进行档案整理服务工作，不得将档案携带离开指定工作场所。</w:t>
            </w:r>
          </w:p>
          <w:p w14:paraId="14C26F6D">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2.数据统计</w:t>
            </w:r>
          </w:p>
          <w:p w14:paraId="4229844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（1）中标供应商须根据采购人要求，统计各环节的档案整理数据。</w:t>
            </w:r>
          </w:p>
          <w:p w14:paraId="0695A0EB">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（2）中标供应商须每月核对各类档案材料的整理归档数量。</w:t>
            </w:r>
          </w:p>
          <w:p w14:paraId="7C8EEFA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（3）统计完成后须协助采购人将相关档案数据进行统计汇总处理。</w:t>
            </w:r>
          </w:p>
          <w:p w14:paraId="1174B73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3.档案整理</w:t>
            </w:r>
          </w:p>
          <w:p w14:paraId="01B992A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（1）拆卷前整理核对：</w:t>
            </w:r>
          </w:p>
          <w:p w14:paraId="1319B87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①拆卷时须小心谨慎，严禁损坏档案，并严格遵守保密制度。在开展档案整理工作前，由专职人员根据相关档案的特性进行拆卷，对于无法拆卷的不得强行撕开，不得对档案原件造成任何损坏。</w:t>
            </w:r>
          </w:p>
          <w:p w14:paraId="70D7C2C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②对破损严重、无法直接进行扫描的档案，须先进行技术修复；折皱不平影响扫描质量的原件，须先进行压平或熨烫等处理后方可使用平板扫描仪进行扫描，相关材料由中标供应商自行配备。</w:t>
            </w:r>
          </w:p>
          <w:p w14:paraId="1FA5EA5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③多份文件粘连一起时，须单页复印后再扫描复印件，不得强行撕开以致损坏档案原件。</w:t>
            </w:r>
          </w:p>
          <w:p w14:paraId="5C9B5EC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（2）档案装订恢复：</w:t>
            </w:r>
          </w:p>
          <w:p w14:paraId="1840B5D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①经拆分扫描及影像处理后的档案原件须重新装订。恢复装订时，须保持档案的排列顺序不变，不得漏页、错页，不压字，装订牢固、不掉页，做到安全、准确、无遗漏。</w:t>
            </w:r>
          </w:p>
          <w:p w14:paraId="1E5B4410">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②按照档案整理的标准，依据目录对照档案原件再次核对。对照目录逐份逐页检查档案原件，位置错误的重新归类，顺序不对的予以调整，并确认目录无误。</w:t>
            </w:r>
          </w:p>
          <w:p w14:paraId="71A6D7D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（3）整理排序：</w:t>
            </w:r>
          </w:p>
          <w:p w14:paraId="7CED1439">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①对档案破损情况的，在征求采购人同意后进行修复处理。</w:t>
            </w:r>
          </w:p>
          <w:p w14:paraId="7398659D">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②对档案材料中的大头针、订书针等金属物予以清除。</w:t>
            </w:r>
          </w:p>
          <w:p w14:paraId="64357FA9">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③对内容进行检查，核对档案条目页面范围是否有误、页码是否连贯、内容是否完整等，并进行相应调整。</w:t>
            </w:r>
          </w:p>
          <w:p w14:paraId="0FFFDBC3">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（4）打印封装：</w:t>
            </w:r>
          </w:p>
          <w:p w14:paraId="09DCC270">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①严格按照采购人档案规范化整理要求和规范，对档案盒、备考表和封皮进行逐份打印。</w:t>
            </w:r>
          </w:p>
          <w:p w14:paraId="36B3F11B">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②涉及档案折装时不得造成档案纸张破损，数量顺序须与原来一致，装订标准保持原始原貌。</w:t>
            </w:r>
          </w:p>
          <w:p w14:paraId="302C5B7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③档案装订时须保证档案材料齐全、纸张规范完整，装订孔不压字、盖章清晰。</w:t>
            </w:r>
          </w:p>
          <w:p w14:paraId="55F8F4D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4.修裱整理</w:t>
            </w:r>
          </w:p>
          <w:p w14:paraId="3FBCF15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（1）对破损严重、无法直接进行扫描的档案，须先进行技术修复。修复原则为在将破损部分粘贴修补时不得遮挡原件字迹。</w:t>
            </w:r>
          </w:p>
          <w:p w14:paraId="3900078E">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（2）粘贴后如产生折皱影响扫描质量的，还应对原件进行压平或烫平等处理。</w:t>
            </w:r>
          </w:p>
          <w:p w14:paraId="3A51374D">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（3）因加工过程属非恶意的人为损坏，由中标供应商负责技术修复。</w:t>
            </w:r>
          </w:p>
          <w:p w14:paraId="3C96FA85">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（4）使用粘合剂把选定的匹配纸张加固在已破损的档案上，以恢复或增加其强度和耐久性。破损霉烂的档案，视档案的单双面以及破损情况进行局部修补加固或整体加固。</w:t>
            </w:r>
          </w:p>
          <w:p w14:paraId="6F04F50C">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5.档案扫描</w:t>
            </w:r>
          </w:p>
          <w:p w14:paraId="24D7BE6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（1）须使用质量可靠的高清拍摄或平板扫描设备，确保扫描过程不对档案原件造成损伤。</w:t>
            </w:r>
          </w:p>
          <w:p w14:paraId="2EA89EB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（2）扫描完成后须清点，按原秩序放回档案盒。</w:t>
            </w:r>
          </w:p>
          <w:p w14:paraId="1D39D479">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（3）根据档案幅面大小选择相应规格扫描仪。纸张状况较差的采用平板扫描，纸张状况良好的可采用高速扫描。</w:t>
            </w:r>
          </w:p>
          <w:p w14:paraId="12BF851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（4）扫描色彩模式均采用24位彩色，分辨率不低于300dpi。照片类采用PDF、JPEG格式保存，分辨率600dpi。</w:t>
            </w:r>
          </w:p>
          <w:p w14:paraId="3237919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（5）多页粘贴一起的须分开单独处理，严禁损坏档案原件。</w:t>
            </w:r>
          </w:p>
          <w:p w14:paraId="0B97F96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6.图像处理</w:t>
            </w:r>
          </w:p>
          <w:p w14:paraId="7C8EEA0C">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（1）逐件逐画幅检查图像完整性、偏斜度、清晰度、失真度、畸变、漏扫、重扫、多扫、排列顺序、命名规范性及与实际目录相符情况。</w:t>
            </w:r>
          </w:p>
          <w:p w14:paraId="7C9D666B">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（2）对图像偏斜、清晰度、色调、污渍、黑边等进行处理，页面污渍须清除至放大2倍清晰为准。不符合质量要求的须重新处理，操作不当导致图像不完整或无法清晰识别的须重新扫描。</w:t>
            </w:r>
          </w:p>
          <w:p w14:paraId="1C86DCB5">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7.图文标注</w:t>
            </w:r>
          </w:p>
          <w:p w14:paraId="140C215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（1）图文标注按一卷建立一个文件夹，文件夹按文书档案档号命名，文件夹里每个图像按文件标题命名。</w:t>
            </w:r>
          </w:p>
          <w:p w14:paraId="0D58FD7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（2）文件目录须齐全完整，目录顺序与档案实体顺序一致、内容相符。</w:t>
            </w:r>
          </w:p>
          <w:p w14:paraId="0A3AAD1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（3）目录项须齐全完整，不得存在必录项空白情况。</w:t>
            </w:r>
          </w:p>
          <w:p w14:paraId="4C912BD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8.装订装盒</w:t>
            </w:r>
          </w:p>
          <w:p w14:paraId="50065806">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（1）拆装档案须完整装订，装订后逐卷检查，确保结实、无脱页、顺序正确。</w:t>
            </w:r>
          </w:p>
          <w:p w14:paraId="5E2A7AB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lang w:val="en-US" w:eastAsia="zh-CN"/>
              </w:rPr>
            </w:pPr>
            <w:r>
              <w:rPr>
                <w:rFonts w:hint="eastAsia" w:ascii="仿宋_GB2312" w:hAnsi="仿宋_GB2312" w:eastAsia="仿宋_GB2312" w:cs="仿宋_GB2312"/>
                <w:kern w:val="2"/>
                <w:sz w:val="28"/>
                <w:szCs w:val="28"/>
                <w:highlight w:val="none"/>
                <w:lang w:val="en-US" w:eastAsia="zh-CN" w:bidi="ar-SA"/>
              </w:rPr>
              <w:t>（2）</w:t>
            </w:r>
            <w:r>
              <w:rPr>
                <w:rFonts w:hint="eastAsia" w:ascii="仿宋_GB2312" w:hAnsi="仿宋_GB2312" w:eastAsia="仿宋_GB2312" w:cs="仿宋_GB2312"/>
                <w:kern w:val="2"/>
                <w:sz w:val="28"/>
                <w:szCs w:val="28"/>
                <w:highlight w:val="none"/>
                <w:lang w:val="en-GB" w:eastAsia="zh-CN" w:bidi="ar-SA"/>
              </w:rPr>
              <w:t>将纸张档案装订成册，贴好封条，加盖档案骑缝章，折叠档案盒，根据档案资料利用针式打印机打印档案盒并将案卷装入对应档案盒中。装盒完成后要对装盒工作进行质量检查，确保档案盒打印清晰美观、档案没有漏装、错装及装盒不规范等问题。如打印有不合规范重新打印。</w:t>
            </w:r>
          </w:p>
          <w:p w14:paraId="1BF33EE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（3）复检完毕后将档案装入相应档案盒，按类型及顺序号存放。</w:t>
            </w:r>
          </w:p>
          <w:p w14:paraId="1FFA57E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（4）扫描完成的档案逐卷清点，按编号叠齐后装订，正副卷分开；大于A4幅面的图纸按规范重新折叠。</w:t>
            </w:r>
          </w:p>
          <w:p w14:paraId="41018C80">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9.目录制作</w:t>
            </w:r>
          </w:p>
          <w:p w14:paraId="220A903D">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（1）按盒打印一份《归档文件目录》分别装入相应档案盒内。</w:t>
            </w:r>
          </w:p>
          <w:p w14:paraId="7E313123">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（2）打印《档案盒背脊标签》整齐粘贴于盒的背脊处。</w:t>
            </w:r>
          </w:p>
          <w:p w14:paraId="165E472B">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（3）按年度打印《归档文件目录》一式两份（软硬皮目录各一份）。</w:t>
            </w:r>
          </w:p>
          <w:p w14:paraId="0F6BBE4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（4）同一年度不同保管期限的归档文件目录可按永久、30年、10年的顺序装订在一起，不同保管期限之间用彩色纸隔开。</w:t>
            </w:r>
          </w:p>
          <w:p w14:paraId="48BAE333">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10.数据备份</w:t>
            </w:r>
          </w:p>
          <w:p w14:paraId="2A78418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（1）存储要求：</w:t>
            </w:r>
          </w:p>
          <w:p w14:paraId="261559A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①核对扫描数据与原件一致性并核实文件编码，确认无误后存入临时存储区域，对图像进行纠偏、去噪等处理。</w:t>
            </w:r>
          </w:p>
          <w:p w14:paraId="754A3C7E">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②发现错误须返工重扫。彩扫文件以JPEG格式存储，压缩率以保证图像清晰可读为前提。</w:t>
            </w:r>
          </w:p>
          <w:p w14:paraId="6058FD6B">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③采用硬盘及光盘存储电子档案数据，须检验备份数据可打开、信息完整、文件数量准确。</w:t>
            </w:r>
          </w:p>
          <w:p w14:paraId="126F560E">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（2）光盘刻录：</w:t>
            </w:r>
          </w:p>
          <w:p w14:paraId="1793AE70">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①保存在服务器上的影像及其属性数据与保存在光盘上的数据须保持一致，并与档案实体保持一致。</w:t>
            </w:r>
          </w:p>
          <w:p w14:paraId="703B1999">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w:t>
            </w:r>
            <w:r>
              <w:rPr>
                <w:rFonts w:hint="eastAsia" w:ascii="仿宋_GB2312" w:hAnsi="仿宋_GB2312" w:eastAsia="仿宋_GB2312" w:cs="仿宋_GB2312"/>
                <w:color w:val="auto"/>
                <w:kern w:val="2"/>
                <w:sz w:val="28"/>
                <w:szCs w:val="28"/>
                <w:highlight w:val="none"/>
                <w:lang w:val="en-US" w:eastAsia="zh-CN" w:bidi="ar-SA"/>
              </w:rPr>
              <w:t>档案扫描图像及其属性数据的脱机介质制作、存储须做好安全和权限管理，保证数据安全。</w:t>
            </w:r>
          </w:p>
          <w:p w14:paraId="1F2C60FF">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11.档案入库上架</w:t>
            </w:r>
          </w:p>
          <w:p w14:paraId="2D489943">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针对医院档案分散存放于各科室、未集中统一管理且无专业档案库房的实际情况，供应商须安排人</w:t>
            </w:r>
            <w:bookmarkStart w:id="0" w:name="_GoBack"/>
            <w:bookmarkEnd w:id="0"/>
            <w:r>
              <w:rPr>
                <w:rFonts w:hint="eastAsia" w:ascii="仿宋_GB2312" w:hAnsi="仿宋_GB2312" w:eastAsia="仿宋_GB2312" w:cs="仿宋_GB2312"/>
                <w:color w:val="auto"/>
                <w:kern w:val="2"/>
                <w:sz w:val="28"/>
                <w:szCs w:val="28"/>
                <w:highlight w:val="none"/>
                <w:lang w:val="en-US" w:eastAsia="zh-CN" w:bidi="ar-SA"/>
              </w:rPr>
              <w:t>员逐科室进行现场勘验，结合各科室现有档案布局，分时段错峰完成上架作业，并按归档上架顺序排序上架，同步做好归档号与目录号的现场核查工作。</w:t>
            </w:r>
          </w:p>
          <w:p w14:paraId="20F5F74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（六）保密和安全要求</w:t>
            </w:r>
          </w:p>
          <w:p w14:paraId="339B06F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1.中标供应商须对工作人员进行上岗前保密安全教育，严格遵守《中华人民共和国档案法》《中华人民共和国保守国家秘密法》及采购人相关保密制度。</w:t>
            </w:r>
          </w:p>
          <w:p w14:paraId="4248617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2.中标供应商须与采购人签订保密协议，与员工签订保密承诺书，并将员工备案表交采购人长期保存。</w:t>
            </w:r>
          </w:p>
          <w:p w14:paraId="4DA337F7">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3.中标供应商须建立保密责任到人的制度，严禁对档案及档案信息进行私自拍摄、复制、抄写等行为。</w:t>
            </w:r>
          </w:p>
          <w:p w14:paraId="02389D4D">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4.工作人员私人物品须存放于专用储物箱柜，工作场所内不得出现手机、相机、笔记本电脑、移动存储介质等电子设备，严禁擅自将工作场所内物品带离。</w:t>
            </w:r>
          </w:p>
          <w:p w14:paraId="0BCDB0D0">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5.档案整理时不得在文件材料上划线、打勾、作记号、折角等，严禁涂改和拆撕档案。</w:t>
            </w:r>
          </w:p>
          <w:p w14:paraId="0569D0AB">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6.档案数字化设备须专机专用，封闭不必要的信息输出端口并定期检查。数字化网络须与其他网络物理隔离，禁止使用无线设备。</w:t>
            </w:r>
          </w:p>
          <w:p w14:paraId="45A4B1C1">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7.项目完成后，使用的计算机、硬盘及移动存储介质等须经采购人检查后方可撤离；设备信息须在采购人监督下销毁，硬盘及存储介质移交采购人。</w:t>
            </w:r>
          </w:p>
          <w:p w14:paraId="0AD0C699">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8.整理过程中产生的废纸须集中放置，清理时须有专人逐页检查，确保无夹带档案文件。</w:t>
            </w:r>
          </w:p>
        </w:tc>
      </w:tr>
      <w:tr w14:paraId="6D74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6A8666AF">
            <w:pPr>
              <w:numPr>
                <w:ilvl w:val="0"/>
                <w:numId w:val="3"/>
              </w:numPr>
              <w:adjustRightInd w:val="0"/>
              <w:snapToGrid w:val="0"/>
              <w:ind w:right="120" w:rightChars="5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服务时间及地点</w:t>
            </w:r>
          </w:p>
          <w:p w14:paraId="7F7000A5">
            <w:pPr>
              <w:adjustRightInd w:val="0"/>
              <w:snapToGrid w:val="0"/>
              <w:ind w:right="120" w:rightChars="50"/>
              <w:jc w:val="lef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eastAsia="zh-CN"/>
              </w:rPr>
              <w:t>服务期：合同签订之日起6个月内完成</w:t>
            </w:r>
          </w:p>
          <w:p w14:paraId="07FFB663">
            <w:pPr>
              <w:adjustRightInd w:val="0"/>
              <w:snapToGrid w:val="0"/>
              <w:ind w:right="120" w:rightChars="50"/>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b/>
                <w:sz w:val="28"/>
                <w:szCs w:val="28"/>
                <w:highlight w:val="none"/>
                <w:lang w:val="en-US" w:eastAsia="zh-CN"/>
              </w:rPr>
              <w:t>服务地点：中山市石岐区湖滨路73号中山市口腔医院</w:t>
            </w:r>
          </w:p>
        </w:tc>
      </w:tr>
      <w:tr w14:paraId="14A4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64012A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四、付款方式及条件：</w:t>
            </w:r>
          </w:p>
          <w:p w14:paraId="3C52440B">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1.付款方式：银行转账结算。</w:t>
            </w:r>
          </w:p>
          <w:p w14:paraId="58DB33F1">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2.付款时间及条件：</w:t>
            </w:r>
          </w:p>
          <w:p w14:paraId="66AC9A7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（1）合同签订后，</w:t>
            </w:r>
            <w:r>
              <w:rPr>
                <w:rFonts w:hint="eastAsia" w:ascii="仿宋_GB2312" w:hAnsi="仿宋_GB2312" w:eastAsia="仿宋_GB2312" w:cs="仿宋_GB2312"/>
                <w:sz w:val="28"/>
                <w:szCs w:val="28"/>
                <w:lang w:val="en-US" w:eastAsia="zh-CN"/>
              </w:rPr>
              <w:t>需方</w:t>
            </w:r>
            <w:r>
              <w:rPr>
                <w:rFonts w:hint="eastAsia" w:ascii="仿宋_GB2312" w:hAnsi="仿宋_GB2312" w:eastAsia="仿宋_GB2312" w:cs="仿宋_GB2312"/>
                <w:sz w:val="28"/>
                <w:szCs w:val="28"/>
              </w:rPr>
              <w:t>支付合同总金额30%预付款，供方完成本项目全部服务内容，经需方验收合格，供方提供有效发票后</w:t>
            </w:r>
            <w:r>
              <w:rPr>
                <w:rFonts w:hint="eastAsia" w:ascii="仿宋_GB2312" w:hAnsi="仿宋_GB2312" w:eastAsia="仿宋_GB2312" w:cs="仿宋_GB2312"/>
                <w:sz w:val="28"/>
                <w:szCs w:val="28"/>
                <w:lang w:val="en-US" w:eastAsia="zh-CN"/>
              </w:rPr>
              <w:t>30个工作日</w:t>
            </w:r>
            <w:r>
              <w:rPr>
                <w:rFonts w:hint="eastAsia" w:ascii="仿宋_GB2312" w:hAnsi="仿宋_GB2312" w:eastAsia="仿宋_GB2312" w:cs="仿宋_GB2312"/>
                <w:sz w:val="28"/>
                <w:szCs w:val="28"/>
              </w:rPr>
              <w:t>内，需方一次</w:t>
            </w:r>
            <w:r>
              <w:rPr>
                <w:rFonts w:hint="eastAsia" w:ascii="仿宋_GB2312" w:hAnsi="仿宋_GB2312" w:eastAsia="仿宋_GB2312" w:cs="仿宋_GB2312"/>
                <w:sz w:val="28"/>
                <w:szCs w:val="28"/>
                <w:highlight w:val="none"/>
              </w:rPr>
              <w:t>性支付合同总金额的</w:t>
            </w:r>
            <w:r>
              <w:rPr>
                <w:rFonts w:hint="eastAsia" w:ascii="仿宋_GB2312" w:hAnsi="仿宋_GB2312" w:eastAsia="仿宋_GB2312" w:cs="仿宋_GB2312"/>
                <w:sz w:val="28"/>
                <w:szCs w:val="28"/>
                <w:highlight w:val="none"/>
                <w:u w:val="none"/>
                <w:lang w:val="en-US" w:eastAsia="zh-CN"/>
              </w:rPr>
              <w:t>100</w:t>
            </w:r>
            <w:r>
              <w:rPr>
                <w:rFonts w:hint="eastAsia" w:ascii="仿宋_GB2312" w:hAnsi="仿宋_GB2312" w:eastAsia="仿宋_GB2312" w:cs="仿宋_GB2312"/>
                <w:sz w:val="28"/>
                <w:szCs w:val="28"/>
                <w:highlight w:val="none"/>
              </w:rPr>
              <w:t>%。</w:t>
            </w:r>
          </w:p>
          <w:p w14:paraId="075F7CF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2）合同的款项以人民币通过银行转账方式结算，</w:t>
            </w:r>
            <w:r>
              <w:rPr>
                <w:rFonts w:hint="eastAsia" w:ascii="仿宋_GB2312" w:hAnsi="仿宋_GB2312" w:eastAsia="仿宋_GB2312" w:cs="仿宋_GB2312"/>
                <w:sz w:val="28"/>
                <w:szCs w:val="28"/>
              </w:rPr>
              <w:t>供方</w:t>
            </w:r>
            <w:r>
              <w:rPr>
                <w:rFonts w:hint="eastAsia" w:ascii="仿宋_GB2312" w:hAnsi="仿宋_GB2312" w:eastAsia="仿宋_GB2312" w:cs="仿宋_GB2312"/>
                <w:sz w:val="28"/>
                <w:szCs w:val="28"/>
                <w:lang w:val="en-US" w:eastAsia="zh-CN"/>
              </w:rPr>
              <w:t>凭以下资料申请款项支付：</w:t>
            </w:r>
          </w:p>
          <w:p w14:paraId="7D410DF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①合同复印件；</w:t>
            </w:r>
          </w:p>
          <w:p w14:paraId="693B2E4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②对应款项的正规全额发票和对应</w:t>
            </w:r>
            <w:r>
              <w:rPr>
                <w:rFonts w:hint="eastAsia" w:ascii="仿宋_GB2312" w:hAnsi="仿宋_GB2312" w:eastAsia="仿宋_GB2312" w:cs="仿宋_GB2312"/>
                <w:sz w:val="28"/>
                <w:szCs w:val="28"/>
                <w:highlight w:val="none"/>
                <w:lang w:val="en-US" w:eastAsia="zh-CN"/>
              </w:rPr>
              <w:t>款项收据。</w:t>
            </w:r>
          </w:p>
          <w:p w14:paraId="2881F0DD">
            <w:pPr>
              <w:keepNext w:val="0"/>
              <w:keepLines w:val="0"/>
              <w:pageBreakBefore w:val="0"/>
              <w:widowControl w:val="0"/>
              <w:kinsoku/>
              <w:wordWrap/>
              <w:overflowPunct/>
              <w:topLinePunct w:val="0"/>
              <w:autoSpaceDE/>
              <w:autoSpaceDN/>
              <w:bidi w:val="0"/>
              <w:adjustRightInd w:val="0"/>
              <w:snapToGrid w:val="0"/>
              <w:spacing w:line="560" w:lineRule="exact"/>
              <w:ind w:right="120" w:rightChars="50"/>
              <w:jc w:val="left"/>
              <w:textAlignment w:val="auto"/>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sz w:val="28"/>
                <w:szCs w:val="28"/>
                <w:highlight w:val="none"/>
              </w:rPr>
              <w:t>3.成交金额包含了本项目可能涉及的一切费用，包括人工费、设备使用费、各类档案整理及所需的一切材料费、</w:t>
            </w:r>
            <w:r>
              <w:rPr>
                <w:rFonts w:hint="eastAsia" w:ascii="仿宋_GB2312" w:hAnsi="仿宋_GB2312" w:eastAsia="仿宋_GB2312" w:cs="仿宋_GB2312"/>
                <w:sz w:val="28"/>
                <w:szCs w:val="28"/>
              </w:rPr>
              <w:t>税费及合同履行过程中不可预见费用等，需方不再支付任何其他费用。</w:t>
            </w:r>
          </w:p>
        </w:tc>
      </w:tr>
      <w:tr w14:paraId="3618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5FC52FB">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验收</w:t>
            </w:r>
          </w:p>
          <w:p w14:paraId="452D836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（一）验收标准：</w:t>
            </w:r>
            <w:r>
              <w:rPr>
                <w:rFonts w:hint="eastAsia" w:ascii="仿宋_GB2312" w:hAnsi="仿宋_GB2312" w:eastAsia="仿宋_GB2312" w:cs="仿宋_GB2312"/>
                <w:sz w:val="28"/>
                <w:szCs w:val="28"/>
              </w:rPr>
              <w:t>档案归档验收项目主要分为档案整理质量及数量两方面。质量方面：案卷整理是否符合标准要求、编号正确、页码无错漏、装订整齐、条目著录清晰；数量方面：有无按期完成需求数量。具体如下：</w:t>
            </w:r>
          </w:p>
          <w:p w14:paraId="39B8431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1.采购人对中标供应商提交的工作成果进行全面验收，合格率不低于95%为通过。</w:t>
            </w:r>
          </w:p>
          <w:p w14:paraId="078E4CA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验收质量要求主要包括但不限于：对档案实体文件排序、页码编制、装订整齐牢固、案卷目录和卷内目录信息著录、封面打印、档案盒背脊信息、挂接错漏、档案盒（或案卷）电子标签等进行检查。各分项验收标准如下：</w:t>
            </w:r>
          </w:p>
          <w:p w14:paraId="69A126BB">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（1）档案实体整理质量验收标准：</w:t>
            </w:r>
          </w:p>
          <w:p w14:paraId="214ECC1A">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①档案数量齐全，页码编制规范；</w:t>
            </w:r>
          </w:p>
          <w:p w14:paraId="45249068">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②重新打印制作的档案目录清晰、完整、排列有序，并与档案实体相符；</w:t>
            </w:r>
          </w:p>
          <w:p w14:paraId="039AC730">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③保留案卷内旧的卷内文件目录，放在相应案卷的新目录之后，与该卷文件一起装订；</w:t>
            </w:r>
          </w:p>
          <w:p w14:paraId="52AFE357">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④档案盒标识清晰准确；</w:t>
            </w:r>
          </w:p>
          <w:p w14:paraId="1A826138">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⑤文件排列、放置方向顺序正确；</w:t>
            </w:r>
          </w:p>
          <w:p w14:paraId="3BD4EB6F">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⑥装订牢固，不遮挡文件的有效信息；</w:t>
            </w:r>
          </w:p>
          <w:p w14:paraId="66ADD135">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⑦大幅面文件折叠规范整齐，文件的折叠或钻孔等均不损坏文件；</w:t>
            </w:r>
          </w:p>
          <w:p w14:paraId="1140D72F">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⑧更换案卷封面信息齐全、美观；</w:t>
            </w:r>
          </w:p>
          <w:p w14:paraId="4FE77CB2">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⑨破损档案实体已修裱。</w:t>
            </w:r>
          </w:p>
          <w:p w14:paraId="3F1EEDA3">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（2）档案数字化扫描质量验收标准：</w:t>
            </w:r>
          </w:p>
          <w:p w14:paraId="0755C5F4">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①图像质量：保持档案扫描图像与纸质原件的一致性和原样性，图像清晰、排序一致、无缺页漏页；</w:t>
            </w:r>
          </w:p>
          <w:p w14:paraId="658E1A8E">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②纠偏：出现偏斜的图像须进行纠偏处理，图像页面倾斜度正负不大于3度；方向不正确的图像须进行旋转还原；</w:t>
            </w:r>
          </w:p>
          <w:p w14:paraId="23E09678">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③分辨率：采用彩色模式扫描，分辨率不低于300dpi，部分有保存价值的档案分辨率不低于600dpi。</w:t>
            </w:r>
          </w:p>
          <w:p w14:paraId="11ECD9D0">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（3）档案著录质量验收标准：</w:t>
            </w:r>
          </w:p>
          <w:p w14:paraId="3B3B4355">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①著录数据完整、规范，发现不符合的数据须按要求修改或重录；</w:t>
            </w:r>
          </w:p>
          <w:p w14:paraId="2B645AB8">
            <w:pPr>
              <w:pStyle w:val="12"/>
              <w:keepNext w:val="0"/>
              <w:keepLines w:val="0"/>
              <w:pageBreakBefore w:val="0"/>
              <w:widowControl w:val="0"/>
              <w:kinsoku/>
              <w:wordWrap/>
              <w:overflowPunct/>
              <w:topLinePunct w:val="0"/>
              <w:autoSpaceDE/>
              <w:autoSpaceDN/>
              <w:bidi w:val="0"/>
              <w:spacing w:line="560" w:lineRule="exact"/>
              <w:ind w:left="0" w:leftChars="0"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②信息录入准确，无错别字、缺字等情况。</w:t>
            </w:r>
          </w:p>
          <w:p w14:paraId="0860434E">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（4）图文标注验收标准：以纸质档案为依据，将每一份纸质档案文件扫描所得的一个或多个图像存储到一个文件夹，文件夹按档案档号命名，每个图像的命名内容与纸质档案内容一致。</w:t>
            </w:r>
          </w:p>
          <w:p w14:paraId="16604E99">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（5）电子目录质量要求：文件目录齐全完整，目录顺序与档案实体顺序一致、内容相符；目录项齐全完整，不存在必录项空白情况；目录项规范准确，数据格式符合规范。</w:t>
            </w:r>
          </w:p>
          <w:p w14:paraId="341FC051">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（6）备份光盘及硬盘要求：检查数据备份光盘、移动硬盘的材质质量，数据完整性和准确性、可用性、安全性，数据存储量不得超过存储空间的80%。</w:t>
            </w:r>
          </w:p>
          <w:p w14:paraId="05A86935">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（7）目录数据成果表达方式：打印2套纸质档案目录，档案目录须分全宗用专用档案目录夹装订。</w:t>
            </w:r>
          </w:p>
          <w:p w14:paraId="311F517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（8）“三合一”制度规范验收标准：</w:t>
            </w:r>
          </w:p>
          <w:p w14:paraId="432DA241">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①中标供应商应在项目档案整理工作中或验收前，编制完成本单位的“三合一”制度，包含档案分类方案、文件材料归档范围和档案保管期限表，并提交采购人备案。</w:t>
            </w:r>
          </w:p>
          <w:p w14:paraId="7975D6B2">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②制度内容应覆盖本单位主要职能活动形成的各类档案（如文书、科技、会计、照片、合同等），分类合理、归档范围明确、保管期限划分参照国家通用规范。</w:t>
            </w:r>
          </w:p>
          <w:p w14:paraId="463EFFBC">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③该制度作为档案整理工作的参考依据，实际整理中如遇特殊情况可适当调整，不作强制完全一致性检查。</w:t>
            </w:r>
          </w:p>
          <w:p w14:paraId="48514235">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（二）验收程序：按照中山市口腔医院验收管理流程有关要求进行验收。</w:t>
            </w:r>
          </w:p>
          <w:p w14:paraId="1DCC592F">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（三）验收报告：由采购人出具验收报告。</w:t>
            </w:r>
          </w:p>
          <w:p w14:paraId="58AC45D6">
            <w:pPr>
              <w:pStyle w:val="1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highlight w:val="none"/>
                <w:lang w:val="en-US" w:eastAsia="zh-CN" w:bidi="ar-SA"/>
              </w:rPr>
              <w:t>（四）组织验收主体：本项</w:t>
            </w:r>
            <w:r>
              <w:rPr>
                <w:rFonts w:hint="eastAsia" w:ascii="仿宋_GB2312" w:hAnsi="仿宋_GB2312" w:eastAsia="仿宋_GB2312" w:cs="仿宋_GB2312"/>
                <w:sz w:val="28"/>
                <w:szCs w:val="28"/>
              </w:rPr>
              <w:t>目的履约验收工作由采购人依法组织实施。</w:t>
            </w:r>
          </w:p>
        </w:tc>
      </w:tr>
      <w:tr w14:paraId="6F80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D186E6E">
            <w:pPr>
              <w:numPr>
                <w:ilvl w:val="0"/>
                <w:numId w:val="4"/>
              </w:numPr>
              <w:adjustRightInd w:val="0"/>
              <w:snapToGrid w:val="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售后服务</w:t>
            </w:r>
          </w:p>
          <w:p w14:paraId="1F0F68A9">
            <w:pPr>
              <w:adjustRightInd w:val="0"/>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热线支持：提供7*24小时热线支持。</w:t>
            </w:r>
          </w:p>
          <w:p w14:paraId="074C5732">
            <w:pPr>
              <w:adjustRightInd w:val="0"/>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免费维护期</w:t>
            </w:r>
            <w:r>
              <w:rPr>
                <w:rFonts w:hint="eastAsia" w:ascii="仿宋_GB2312" w:hAnsi="仿宋_GB2312" w:eastAsia="仿宋_GB2312" w:cs="仿宋_GB2312"/>
                <w:sz w:val="28"/>
                <w:szCs w:val="28"/>
                <w:highlight w:val="none"/>
                <w:lang w:val="en-US" w:eastAsia="zh-CN"/>
              </w:rPr>
              <w:t>：验收通过</w:t>
            </w:r>
            <w:r>
              <w:rPr>
                <w:rFonts w:hint="eastAsia" w:ascii="仿宋_GB2312" w:hAnsi="仿宋_GB2312" w:eastAsia="仿宋_GB2312" w:cs="仿宋_GB2312"/>
                <w:sz w:val="28"/>
                <w:szCs w:val="28"/>
                <w:highlight w:val="none"/>
              </w:rPr>
              <w:t>之日起至少</w:t>
            </w:r>
            <w:r>
              <w:rPr>
                <w:rFonts w:hint="eastAsia" w:ascii="仿宋_GB2312" w:hAnsi="仿宋_GB2312" w:eastAsia="仿宋_GB2312" w:cs="仿宋_GB2312"/>
                <w:sz w:val="28"/>
                <w:szCs w:val="28"/>
                <w:highlight w:val="none"/>
                <w:u w:val="none"/>
                <w:lang w:val="en-US" w:eastAsia="zh-CN"/>
              </w:rPr>
              <w:t>1</w:t>
            </w:r>
            <w:r>
              <w:rPr>
                <w:rFonts w:hint="eastAsia" w:ascii="仿宋_GB2312" w:hAnsi="仿宋_GB2312" w:eastAsia="仿宋_GB2312" w:cs="仿宋_GB2312"/>
                <w:sz w:val="28"/>
                <w:szCs w:val="28"/>
                <w:highlight w:val="none"/>
              </w:rPr>
              <w:t>年。</w:t>
            </w:r>
          </w:p>
        </w:tc>
      </w:tr>
      <w:tr w14:paraId="2FC3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4A035917">
            <w:pPr>
              <w:numPr>
                <w:ilvl w:val="0"/>
                <w:numId w:val="4"/>
              </w:numPr>
              <w:adjustRightInd w:val="0"/>
              <w:snapToGrid w:val="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知识产权及保密：</w:t>
            </w:r>
          </w:p>
          <w:p w14:paraId="02B02F7D">
            <w:pPr>
              <w:adjustRightInd w:val="0"/>
              <w:snapToGrid w:val="0"/>
              <w:ind w:right="120" w:rightChars="50"/>
              <w:rPr>
                <w:rFonts w:hint="eastAsia" w:ascii="仿宋_GB2312" w:hAnsi="仿宋_GB2312" w:eastAsia="仿宋_GB2312" w:cs="仿宋_GB2312"/>
                <w:sz w:val="28"/>
                <w:szCs w:val="28"/>
                <w:lang w:bidi="zh-CN"/>
              </w:rPr>
            </w:pPr>
            <w:r>
              <w:rPr>
                <w:rFonts w:hint="eastAsia" w:ascii="仿宋_GB2312" w:hAnsi="仿宋_GB2312" w:eastAsia="仿宋_GB2312" w:cs="仿宋_GB2312"/>
                <w:sz w:val="28"/>
                <w:szCs w:val="28"/>
                <w:lang w:bidi="zh-CN"/>
              </w:rPr>
              <w:t>1.成交供应商应保证其向采购人提供的本合同项下的货物或服务以及其中包含的任何一部分不侵犯任何第三方的作品、发明专利、商业秘密等知识产权。如因上述原因，第三方向采购人提起侵权诉讼，成交供应商负责交涉、处理并承担由此引起的全部法律及经济责任。</w:t>
            </w:r>
          </w:p>
          <w:p w14:paraId="02E43EAC">
            <w:pPr>
              <w:adjustRightInd w:val="0"/>
              <w:snapToGrid w:val="0"/>
              <w:ind w:right="120" w:rightChars="50"/>
              <w:rPr>
                <w:rFonts w:hint="eastAsia" w:ascii="仿宋_GB2312" w:hAnsi="仿宋_GB2312" w:eastAsia="仿宋_GB2312" w:cs="仿宋_GB2312"/>
                <w:sz w:val="28"/>
                <w:szCs w:val="28"/>
                <w:lang w:bidi="zh-CN"/>
              </w:rPr>
            </w:pPr>
            <w:r>
              <w:rPr>
                <w:rFonts w:hint="eastAsia" w:ascii="仿宋_GB2312" w:hAnsi="仿宋_GB2312" w:eastAsia="仿宋_GB2312" w:cs="仿宋_GB2312"/>
                <w:sz w:val="28"/>
                <w:szCs w:val="28"/>
                <w:lang w:bidi="zh-CN"/>
              </w:rPr>
              <w:t>2.一方对另一方提供的技术资料、样件、图纸及其他与质量、技术、经营相关信息（包括但不限于价格、数量）有保密义务。双方应确保其人员及相关协作方承担保密义务。</w:t>
            </w:r>
          </w:p>
          <w:p w14:paraId="5F3AB736">
            <w:pPr>
              <w:adjustRightInd w:val="0"/>
              <w:snapToGrid w:val="0"/>
              <w:ind w:right="120" w:rightChars="50"/>
              <w:rPr>
                <w:rFonts w:hint="eastAsia" w:ascii="仿宋_GB2312" w:hAnsi="仿宋_GB2312" w:eastAsia="仿宋_GB2312" w:cs="仿宋_GB2312"/>
                <w:sz w:val="28"/>
                <w:szCs w:val="28"/>
                <w:lang w:bidi="zh-CN"/>
              </w:rPr>
            </w:pPr>
            <w:r>
              <w:rPr>
                <w:rFonts w:hint="eastAsia" w:ascii="仿宋_GB2312" w:hAnsi="仿宋_GB2312" w:eastAsia="仿宋_GB2312" w:cs="仿宋_GB2312"/>
                <w:sz w:val="28"/>
                <w:szCs w:val="28"/>
                <w:lang w:bidi="zh-CN"/>
              </w:rPr>
              <w:t>3.成交供应商保证，成交供应商依据本合同提供的货物或服务以及与之相关的软件和技术资料，成交供应商均已得到有关知识产权的权利人的合法授权，如发生涉及到专利权、著作权、商标权等争议，成交供应商负责交涉、处理，并承担由此引起的对第三人和采购人的全部法律及经济责任。</w:t>
            </w:r>
          </w:p>
          <w:p w14:paraId="200061D7">
            <w:pPr>
              <w:adjustRightInd w:val="0"/>
              <w:snapToGrid w:val="0"/>
              <w:ind w:right="120" w:rightChars="5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bidi="zh-CN"/>
              </w:rPr>
              <w:t>4.本合同中涉及知识产权任何条款，在合同期限内及合同终止后持续有效。</w:t>
            </w:r>
          </w:p>
        </w:tc>
      </w:tr>
      <w:tr w14:paraId="05A2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558FE7E">
            <w:pPr>
              <w:adjustRightInd w:val="0"/>
              <w:snapToGrid w:val="0"/>
              <w:ind w:right="120" w:rightChars="5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、其他：</w:t>
            </w:r>
          </w:p>
          <w:p w14:paraId="6EC524C7">
            <w:pPr>
              <w:adjustRightInd w:val="0"/>
              <w:snapToGrid w:val="0"/>
              <w:ind w:right="120" w:rightChars="50"/>
              <w:jc w:val="left"/>
              <w:rPr>
                <w:rFonts w:hint="eastAsia" w:ascii="仿宋_GB2312" w:hAnsi="仿宋_GB2312" w:eastAsia="仿宋_GB2312" w:cs="仿宋_GB2312"/>
                <w:sz w:val="28"/>
                <w:szCs w:val="28"/>
                <w:lang w:bidi="zh-CN"/>
              </w:rPr>
            </w:pPr>
            <w:r>
              <w:rPr>
                <w:rFonts w:hint="eastAsia" w:ascii="仿宋_GB2312" w:hAnsi="仿宋_GB2312" w:eastAsia="仿宋_GB2312" w:cs="仿宋_GB2312"/>
                <w:sz w:val="28"/>
                <w:szCs w:val="28"/>
              </w:rPr>
              <w:t>成交供应商在提供服务全流程过程中，发生的所有人身伤害或财产损失均由成交供应商自行承担全部责任。</w:t>
            </w:r>
          </w:p>
        </w:tc>
      </w:tr>
    </w:tbl>
    <w:p w14:paraId="26446863">
      <w:pPr>
        <w:adjustRightInd w:val="0"/>
        <w:snapToGrid w:val="0"/>
        <w:ind w:right="120" w:rightChars="50"/>
        <w:jc w:val="left"/>
        <w:rPr>
          <w:rFonts w:hint="eastAsia" w:ascii="仿宋_GB2312" w:hAnsi="仿宋_GB2312" w:eastAsia="仿宋_GB2312" w:cs="仿宋_GB2312"/>
          <w:b/>
          <w:bCs/>
          <w:sz w:val="28"/>
          <w:szCs w:val="28"/>
        </w:rPr>
        <w:sectPr>
          <w:headerReference r:id="rId7" w:type="default"/>
          <w:footerReference r:id="rId8" w:type="default"/>
          <w:type w:val="continuous"/>
          <w:pgSz w:w="11900" w:h="16840"/>
          <w:pgMar w:top="1440" w:right="1800" w:bottom="1440" w:left="1800" w:header="851" w:footer="992" w:gutter="0"/>
          <w:pgNumType w:fmt="decimal"/>
          <w:cols w:space="425" w:num="1"/>
          <w:docGrid w:type="lines" w:linePitch="312" w:charSpace="0"/>
        </w:sectPr>
      </w:pPr>
    </w:p>
    <w:p w14:paraId="33108BB0">
      <w:pPr>
        <w:spacing w:line="360" w:lineRule="auto"/>
        <w:jc w:val="center"/>
        <w:rPr>
          <w:rFonts w:hint="eastAsia" w:ascii="仿宋_GB2312" w:hAnsi="仿宋_GB2312" w:eastAsia="仿宋_GB2312" w:cs="仿宋_GB2312"/>
          <w:i/>
          <w:iCs/>
          <w:color w:val="FF0000"/>
          <w:sz w:val="28"/>
          <w:szCs w:val="28"/>
          <w:highlight w:val="yellow"/>
          <w:lang w:eastAsia="zh-CN"/>
        </w:rPr>
      </w:pPr>
      <w:r>
        <w:rPr>
          <w:rFonts w:hint="eastAsia" w:ascii="仿宋_GB2312" w:hAnsi="仿宋_GB2312" w:eastAsia="仿宋_GB2312" w:cs="仿宋_GB2312"/>
          <w:sz w:val="28"/>
          <w:szCs w:val="28"/>
          <w:lang w:eastAsia="zh-CN"/>
        </w:rPr>
        <w:t>附：综合评分表</w:t>
      </w:r>
    </w:p>
    <w:tbl>
      <w:tblPr>
        <w:tblStyle w:val="13"/>
        <w:tblW w:w="944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4"/>
        <w:gridCol w:w="1612"/>
        <w:gridCol w:w="6552"/>
      </w:tblGrid>
      <w:tr w14:paraId="2CF2A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noWrap/>
            <w:vAlign w:val="center"/>
          </w:tcPr>
          <w:p w14:paraId="0D170E1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 w:val="left" w:pos="7720"/>
              </w:tabs>
              <w:spacing w:before="0" w:beforeAutospacing="0" w:after="0" w:afterAutospacing="0" w:line="315" w:lineRule="atLeast"/>
              <w:ind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ab/>
            </w:r>
            <w:r>
              <w:rPr>
                <w:rFonts w:hint="eastAsia" w:ascii="仿宋_GB2312" w:hAnsi="仿宋_GB2312" w:eastAsia="仿宋_GB2312" w:cs="仿宋_GB2312"/>
                <w:sz w:val="28"/>
                <w:szCs w:val="28"/>
              </w:rPr>
              <w:t>评审因素</w:t>
            </w:r>
          </w:p>
        </w:tc>
        <w:tc>
          <w:tcPr>
            <w:tcW w:w="8164" w:type="dxa"/>
            <w:gridSpan w:val="2"/>
            <w:noWrap/>
          </w:tcPr>
          <w:p w14:paraId="22C1D796">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评审标准</w:t>
            </w:r>
          </w:p>
        </w:tc>
      </w:tr>
      <w:tr w14:paraId="5A4EF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noWrap/>
            <w:vAlign w:val="center"/>
          </w:tcPr>
          <w:p w14:paraId="37EEF424">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分值构成</w:t>
            </w:r>
          </w:p>
        </w:tc>
        <w:tc>
          <w:tcPr>
            <w:tcW w:w="8164" w:type="dxa"/>
            <w:gridSpan w:val="2"/>
            <w:noWrap/>
          </w:tcPr>
          <w:p w14:paraId="0EE8D9D7">
            <w:pPr>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商务技术</w:t>
            </w:r>
            <w:r>
              <w:rPr>
                <w:rFonts w:hint="eastAsia" w:ascii="仿宋_GB2312" w:hAnsi="仿宋_GB2312" w:eastAsia="仿宋_GB2312" w:cs="仿宋_GB2312"/>
                <w:sz w:val="28"/>
                <w:szCs w:val="28"/>
              </w:rPr>
              <w:t>部分</w:t>
            </w:r>
            <w:r>
              <w:rPr>
                <w:rFonts w:hint="eastAsia" w:ascii="仿宋_GB2312" w:hAnsi="仿宋_GB2312" w:eastAsia="仿宋_GB2312" w:cs="仿宋_GB2312"/>
                <w:sz w:val="28"/>
                <w:szCs w:val="28"/>
                <w:lang w:val="en-US" w:eastAsia="zh-CN"/>
              </w:rPr>
              <w:t>90</w:t>
            </w:r>
            <w:r>
              <w:rPr>
                <w:rFonts w:hint="eastAsia" w:ascii="仿宋_GB2312" w:hAnsi="仿宋_GB2312" w:eastAsia="仿宋_GB2312" w:cs="仿宋_GB2312"/>
                <w:sz w:val="28"/>
                <w:szCs w:val="28"/>
              </w:rPr>
              <w:t>分</w:t>
            </w:r>
          </w:p>
          <w:p w14:paraId="291C36ED">
            <w:pPr>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价格得分10分</w:t>
            </w:r>
          </w:p>
        </w:tc>
      </w:tr>
      <w:tr w14:paraId="3BEF5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vMerge w:val="restart"/>
            <w:noWrap/>
            <w:vAlign w:val="center"/>
          </w:tcPr>
          <w:p w14:paraId="13D6E9C5">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技术部分</w:t>
            </w:r>
          </w:p>
          <w:p w14:paraId="4E05E5EA">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90</w:t>
            </w:r>
            <w:r>
              <w:rPr>
                <w:rFonts w:hint="eastAsia" w:ascii="仿宋_GB2312" w:hAnsi="仿宋_GB2312" w:eastAsia="仿宋_GB2312" w:cs="仿宋_GB2312"/>
                <w:sz w:val="28"/>
                <w:szCs w:val="28"/>
              </w:rPr>
              <w:t>分）</w:t>
            </w:r>
          </w:p>
        </w:tc>
        <w:tc>
          <w:tcPr>
            <w:tcW w:w="1612" w:type="dxa"/>
            <w:noWrap/>
            <w:vAlign w:val="center"/>
          </w:tcPr>
          <w:p w14:paraId="25FC838B">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项目实施方案</w:t>
            </w:r>
          </w:p>
          <w:p w14:paraId="289F16E8">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35</w:t>
            </w:r>
            <w:r>
              <w:rPr>
                <w:rFonts w:hint="eastAsia" w:ascii="仿宋_GB2312" w:hAnsi="仿宋_GB2312" w:eastAsia="仿宋_GB2312" w:cs="仿宋_GB2312"/>
                <w:sz w:val="28"/>
                <w:szCs w:val="28"/>
              </w:rPr>
              <w:t>分)</w:t>
            </w:r>
          </w:p>
        </w:tc>
        <w:tc>
          <w:tcPr>
            <w:tcW w:w="6552" w:type="dxa"/>
            <w:noWrap/>
          </w:tcPr>
          <w:p w14:paraId="07C9E26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根据供应商提供的实施方案（包括但不限于工作实施的各个阶段、各项工作的服务内容、服务目标、服务时间和进度计划等）进行评审：  </w:t>
            </w:r>
          </w:p>
          <w:p w14:paraId="412C16AE">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sz w:val="28"/>
                <w:szCs w:val="28"/>
              </w:rPr>
              <w:t>实施方案涵盖上述所有内容，方案详细具体，能细化到采购需求的所有内容且详细具体，科学、实用和合理，完全满足或优于采购需求的，得</w:t>
            </w:r>
            <w:r>
              <w:rPr>
                <w:rFonts w:hint="eastAsia" w:ascii="仿宋_GB2312" w:hAnsi="仿宋_GB2312" w:eastAsia="仿宋_GB2312" w:cs="仿宋_GB2312"/>
                <w:sz w:val="28"/>
                <w:szCs w:val="28"/>
                <w:lang w:val="en-US" w:eastAsia="zh-CN"/>
              </w:rPr>
              <w:t>35</w:t>
            </w:r>
            <w:r>
              <w:rPr>
                <w:rFonts w:hint="eastAsia" w:ascii="仿宋_GB2312" w:hAnsi="仿宋_GB2312" w:eastAsia="仿宋_GB2312" w:cs="仿宋_GB2312"/>
                <w:sz w:val="28"/>
                <w:szCs w:val="28"/>
              </w:rPr>
              <w:t xml:space="preserve">分；  </w:t>
            </w:r>
          </w:p>
          <w:p w14:paraId="53DC7291">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sz w:val="28"/>
                <w:szCs w:val="28"/>
              </w:rPr>
              <w:t>实施方案涵盖上述所有内容，方案较详细，能比较细化到采购需求的所有内容，较科学、比较实用和合理，比较满足采购需求的，得</w:t>
            </w: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rPr>
              <w:t xml:space="preserve">分；  </w:t>
            </w:r>
          </w:p>
          <w:p w14:paraId="05C046BB">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sz w:val="28"/>
                <w:szCs w:val="28"/>
              </w:rPr>
              <w:t>实施方案涵盖上述所有内容，方案较完整，基本涵盖采购需求的所有内容，基本合理，基本满足采购需求的，得</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 xml:space="preserve">分；  </w:t>
            </w:r>
          </w:p>
          <w:p w14:paraId="412CA7D3">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sz w:val="28"/>
                <w:szCs w:val="28"/>
              </w:rPr>
              <w:t>实施方案未涵盖上述所有内容，方案不够完整，未涵盖采购需求的所有内容，不够合理，不够满足采购需求的，得</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 xml:space="preserve">分。 </w:t>
            </w:r>
          </w:p>
          <w:p w14:paraId="675F0CD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注：无相关方案的，不得分。</w:t>
            </w:r>
          </w:p>
        </w:tc>
      </w:tr>
      <w:tr w14:paraId="511F8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vMerge w:val="continue"/>
            <w:noWrap/>
            <w:vAlign w:val="center"/>
          </w:tcPr>
          <w:p w14:paraId="24F9837E">
            <w:pPr>
              <w:spacing w:line="360" w:lineRule="auto"/>
              <w:jc w:val="center"/>
              <w:rPr>
                <w:rFonts w:hint="eastAsia" w:ascii="仿宋_GB2312" w:hAnsi="仿宋_GB2312" w:eastAsia="仿宋_GB2312" w:cs="仿宋_GB2312"/>
                <w:sz w:val="28"/>
                <w:szCs w:val="28"/>
              </w:rPr>
            </w:pPr>
          </w:p>
        </w:tc>
        <w:tc>
          <w:tcPr>
            <w:tcW w:w="1612" w:type="dxa"/>
            <w:noWrap/>
            <w:vAlign w:val="center"/>
          </w:tcPr>
          <w:p w14:paraId="7CB6B730">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场地服务</w:t>
            </w:r>
            <w:r>
              <w:rPr>
                <w:rFonts w:hint="eastAsia" w:ascii="仿宋_GB2312" w:hAnsi="仿宋_GB2312" w:eastAsia="仿宋_GB2312" w:cs="仿宋_GB2312"/>
                <w:color w:val="auto"/>
                <w:sz w:val="28"/>
                <w:szCs w:val="28"/>
              </w:rPr>
              <w:t>方案 (</w:t>
            </w: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分)</w:t>
            </w:r>
          </w:p>
        </w:tc>
        <w:tc>
          <w:tcPr>
            <w:tcW w:w="6552" w:type="dxa"/>
            <w:noWrap/>
          </w:tcPr>
          <w:p w14:paraId="2257742A">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根据供应商所提供的结合本项目现有场地条件的服务方案进行横向比较，分档评分：</w:t>
            </w:r>
          </w:p>
          <w:p w14:paraId="3026DFCF">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服务方案充分结合场地实际，内容详细合理，完全满足采购需求，得</w:t>
            </w: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分；</w:t>
            </w:r>
          </w:p>
          <w:p w14:paraId="295B826D">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服务方案较合理，能较好地适应场地条件，基本满足要求，得1</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分；</w:t>
            </w:r>
          </w:p>
          <w:p w14:paraId="04E5130D">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服务方案对场地因素考虑不足，存在部分缺陷，仅能基本满足，得</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分；</w:t>
            </w:r>
          </w:p>
          <w:p w14:paraId="5CBE5A36">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服务方案未针对场地条件进行合理设计，明显不合理，得</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分。</w:t>
            </w:r>
          </w:p>
          <w:p w14:paraId="7F3C74AD">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color w:val="auto"/>
              </w:rPr>
            </w:pPr>
            <w:r>
              <w:rPr>
                <w:rFonts w:hint="eastAsia" w:ascii="仿宋_GB2312" w:hAnsi="仿宋_GB2312" w:eastAsia="仿宋_GB2312" w:cs="仿宋_GB2312"/>
                <w:color w:val="auto"/>
                <w:sz w:val="28"/>
                <w:szCs w:val="28"/>
              </w:rPr>
              <w:t>注：无相关方案的，不得分。</w:t>
            </w:r>
          </w:p>
        </w:tc>
      </w:tr>
      <w:tr w14:paraId="1E3CE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9" w:hRule="atLeast"/>
          <w:jc w:val="center"/>
        </w:trPr>
        <w:tc>
          <w:tcPr>
            <w:tcW w:w="1284" w:type="dxa"/>
            <w:vMerge w:val="continue"/>
            <w:noWrap/>
            <w:vAlign w:val="center"/>
          </w:tcPr>
          <w:p w14:paraId="25D20DF6">
            <w:pPr>
              <w:spacing w:line="360" w:lineRule="auto"/>
              <w:jc w:val="center"/>
              <w:rPr>
                <w:rFonts w:hint="eastAsia" w:ascii="仿宋_GB2312" w:hAnsi="仿宋_GB2312" w:eastAsia="仿宋_GB2312" w:cs="仿宋_GB2312"/>
                <w:sz w:val="28"/>
                <w:szCs w:val="28"/>
              </w:rPr>
            </w:pPr>
          </w:p>
        </w:tc>
        <w:tc>
          <w:tcPr>
            <w:tcW w:w="1612" w:type="dxa"/>
            <w:noWrap/>
            <w:vAlign w:val="center"/>
          </w:tcPr>
          <w:p w14:paraId="6A428AAD">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同类项目业绩</w:t>
            </w:r>
          </w:p>
          <w:p w14:paraId="4F5CCC31">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分)</w:t>
            </w:r>
          </w:p>
        </w:tc>
        <w:tc>
          <w:tcPr>
            <w:tcW w:w="6552" w:type="dxa"/>
            <w:noWrap/>
          </w:tcPr>
          <w:p w14:paraId="68EF365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供应商自2023年1月1日以来（以合同生效时间为准）承接过的同类项目业绩合同，每提供一个同类项目合同得</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分；本项最高得</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 xml:space="preserve">分。 </w:t>
            </w:r>
          </w:p>
          <w:p w14:paraId="07205AB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注：同一项目不同年份的合同按一份计算，不重复计算分数。同一业主续签不重复计分。须提供合同复印件，并加盖公章。</w:t>
            </w:r>
          </w:p>
        </w:tc>
      </w:tr>
      <w:tr w14:paraId="2744A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vMerge w:val="continue"/>
            <w:noWrap/>
            <w:vAlign w:val="center"/>
          </w:tcPr>
          <w:p w14:paraId="6524C7F3">
            <w:pPr>
              <w:spacing w:line="360" w:lineRule="auto"/>
              <w:jc w:val="center"/>
              <w:rPr>
                <w:rFonts w:hint="eastAsia" w:ascii="仿宋_GB2312" w:hAnsi="仿宋_GB2312" w:eastAsia="仿宋_GB2312" w:cs="仿宋_GB2312"/>
                <w:sz w:val="28"/>
                <w:szCs w:val="28"/>
              </w:rPr>
            </w:pPr>
          </w:p>
        </w:tc>
        <w:tc>
          <w:tcPr>
            <w:tcW w:w="1612" w:type="dxa"/>
            <w:noWrap/>
            <w:vAlign w:val="center"/>
          </w:tcPr>
          <w:p w14:paraId="25C8E696">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客户服务评价（依据提供的同类项目业绩的业主评价）</w:t>
            </w:r>
          </w:p>
          <w:p w14:paraId="12CBB50E">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p>
        </w:tc>
        <w:tc>
          <w:tcPr>
            <w:tcW w:w="6552" w:type="dxa"/>
            <w:noWrap/>
          </w:tcPr>
          <w:p w14:paraId="45C69B7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每提供一份2023年以来提供的同类项目业绩的评价为满意或优或优秀等正面评价的，每个用户评价得</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分。本项最高得</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 xml:space="preserve">分。 </w:t>
            </w:r>
          </w:p>
          <w:p w14:paraId="504301F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注：请供应商严格按照要求提交相关证明材料，否则有可能影响评审结果。提供评价的证明文件复印件，并加盖公章。</w:t>
            </w:r>
          </w:p>
        </w:tc>
      </w:tr>
      <w:tr w14:paraId="21CBB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noWrap/>
            <w:vAlign w:val="center"/>
          </w:tcPr>
          <w:p w14:paraId="001ED6C5">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价格部分（10分）</w:t>
            </w:r>
          </w:p>
        </w:tc>
        <w:tc>
          <w:tcPr>
            <w:tcW w:w="1612" w:type="dxa"/>
            <w:noWrap/>
            <w:vAlign w:val="center"/>
          </w:tcPr>
          <w:p w14:paraId="113F52E1">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报价得分 (10分)</w:t>
            </w:r>
          </w:p>
        </w:tc>
        <w:tc>
          <w:tcPr>
            <w:tcW w:w="6552" w:type="dxa"/>
            <w:noWrap/>
          </w:tcPr>
          <w:p w14:paraId="30D0807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投标报价得分＝（评标基准价/总报价）×价格分值</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10）</w:t>
            </w:r>
          </w:p>
          <w:p w14:paraId="638D75E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【注：满足要求且价格最低的总报价为评标基准价。】最低报价不是</w:t>
            </w:r>
            <w:r>
              <w:rPr>
                <w:rFonts w:hint="eastAsia" w:ascii="仿宋_GB2312" w:hAnsi="仿宋_GB2312" w:eastAsia="仿宋_GB2312" w:cs="仿宋_GB2312"/>
                <w:sz w:val="28"/>
                <w:szCs w:val="28"/>
                <w:lang w:eastAsia="zh-CN"/>
              </w:rPr>
              <w:t>成交</w:t>
            </w:r>
            <w:r>
              <w:rPr>
                <w:rFonts w:hint="eastAsia" w:ascii="仿宋_GB2312" w:hAnsi="仿宋_GB2312" w:eastAsia="仿宋_GB2312" w:cs="仿宋_GB2312"/>
                <w:sz w:val="28"/>
                <w:szCs w:val="28"/>
              </w:rPr>
              <w:t>的唯一依据。</w:t>
            </w:r>
          </w:p>
        </w:tc>
      </w:tr>
    </w:tbl>
    <w:p w14:paraId="4CC0CEB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right="0"/>
        <w:rPr>
          <w:rFonts w:hint="eastAsia" w:ascii="仿宋_GB2312" w:hAnsi="仿宋_GB2312" w:eastAsia="仿宋_GB2312" w:cs="仿宋_GB2312"/>
          <w:i w:val="0"/>
          <w:iCs w:val="0"/>
          <w:caps w:val="0"/>
          <w:color w:val="2B2B2B"/>
          <w:spacing w:val="0"/>
          <w:sz w:val="28"/>
          <w:szCs w:val="28"/>
          <w:shd w:val="clear" w:fill="FFFFFF"/>
          <w:lang w:val="en-US" w:eastAsia="zh-CN"/>
        </w:rPr>
      </w:pPr>
    </w:p>
    <w:sectPr>
      <w:headerReference r:id="rId9" w:type="default"/>
      <w:footerReference r:id="rId10"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E01C8">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D5B3D">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5</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6D5B3D">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5</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7736">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698C6">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11E83">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2314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2FF69"/>
    <w:multiLevelType w:val="singleLevel"/>
    <w:tmpl w:val="B0A2FF69"/>
    <w:lvl w:ilvl="0" w:tentative="0">
      <w:start w:val="5"/>
      <w:numFmt w:val="chineseCounting"/>
      <w:suff w:val="nothing"/>
      <w:lvlText w:val="%1、"/>
      <w:lvlJc w:val="left"/>
      <w:rPr>
        <w:rFonts w:hint="eastAsia"/>
      </w:rPr>
    </w:lvl>
  </w:abstractNum>
  <w:abstractNum w:abstractNumId="1">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788911"/>
    <w:multiLevelType w:val="singleLevel"/>
    <w:tmpl w:val="16788911"/>
    <w:lvl w:ilvl="0" w:tentative="0">
      <w:start w:val="1"/>
      <w:numFmt w:val="chineseCounting"/>
      <w:suff w:val="nothing"/>
      <w:lvlText w:val="（%1）"/>
      <w:lvlJc w:val="left"/>
      <w:rPr>
        <w:rFonts w:hint="eastAsia"/>
      </w:rPr>
    </w:lvl>
  </w:abstractNum>
  <w:abstractNum w:abstractNumId="3">
    <w:nsid w:val="67ED5C15"/>
    <w:multiLevelType w:val="singleLevel"/>
    <w:tmpl w:val="67ED5C15"/>
    <w:lvl w:ilvl="0" w:tentative="0">
      <w:start w:val="2"/>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2351671"/>
    <w:rsid w:val="04270380"/>
    <w:rsid w:val="09AE6AAA"/>
    <w:rsid w:val="0C5E3BDC"/>
    <w:rsid w:val="0F152C08"/>
    <w:rsid w:val="10143433"/>
    <w:rsid w:val="108C1CE9"/>
    <w:rsid w:val="13C27EE5"/>
    <w:rsid w:val="172E0C15"/>
    <w:rsid w:val="17B551B1"/>
    <w:rsid w:val="1861274F"/>
    <w:rsid w:val="1B9E408E"/>
    <w:rsid w:val="1EC341D8"/>
    <w:rsid w:val="1FB607D5"/>
    <w:rsid w:val="20E830D9"/>
    <w:rsid w:val="21AC6893"/>
    <w:rsid w:val="21F71A28"/>
    <w:rsid w:val="22990DAD"/>
    <w:rsid w:val="243F5C4A"/>
    <w:rsid w:val="275072F5"/>
    <w:rsid w:val="2C440AD9"/>
    <w:rsid w:val="2C872D09"/>
    <w:rsid w:val="2D1967EA"/>
    <w:rsid w:val="2D8F2BBA"/>
    <w:rsid w:val="2DDC40C9"/>
    <w:rsid w:val="2EDD255F"/>
    <w:rsid w:val="33557238"/>
    <w:rsid w:val="36D7590A"/>
    <w:rsid w:val="37346EEF"/>
    <w:rsid w:val="38134179"/>
    <w:rsid w:val="38804BB0"/>
    <w:rsid w:val="39693A3D"/>
    <w:rsid w:val="3A6F7581"/>
    <w:rsid w:val="3AA67179"/>
    <w:rsid w:val="3B043D56"/>
    <w:rsid w:val="3D7F705B"/>
    <w:rsid w:val="3DBF0FE8"/>
    <w:rsid w:val="3DF20825"/>
    <w:rsid w:val="3FA52EEE"/>
    <w:rsid w:val="3FAC383B"/>
    <w:rsid w:val="40D92E03"/>
    <w:rsid w:val="4145149E"/>
    <w:rsid w:val="45181DF2"/>
    <w:rsid w:val="45DB5E74"/>
    <w:rsid w:val="47AA6646"/>
    <w:rsid w:val="490E76E3"/>
    <w:rsid w:val="4AE02316"/>
    <w:rsid w:val="4BEB02E1"/>
    <w:rsid w:val="50DD7D7F"/>
    <w:rsid w:val="52EB4611"/>
    <w:rsid w:val="5304160F"/>
    <w:rsid w:val="544901B4"/>
    <w:rsid w:val="5477645C"/>
    <w:rsid w:val="55F51A76"/>
    <w:rsid w:val="57016946"/>
    <w:rsid w:val="5A682D95"/>
    <w:rsid w:val="5AB36DD5"/>
    <w:rsid w:val="5C585D9F"/>
    <w:rsid w:val="5C6B34A4"/>
    <w:rsid w:val="5FD4404B"/>
    <w:rsid w:val="6044285D"/>
    <w:rsid w:val="6692440D"/>
    <w:rsid w:val="692C2A44"/>
    <w:rsid w:val="6A2F1539"/>
    <w:rsid w:val="6E295363"/>
    <w:rsid w:val="71321BD9"/>
    <w:rsid w:val="73652370"/>
    <w:rsid w:val="75F9587E"/>
    <w:rsid w:val="78D56F93"/>
    <w:rsid w:val="79E2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6"/>
    <w:link w:val="17"/>
    <w:semiHidden/>
    <w:unhideWhenUsed/>
    <w:qFormat/>
    <w:uiPriority w:val="0"/>
    <w:pPr>
      <w:keepNext/>
      <w:keepLines/>
      <w:spacing w:line="480" w:lineRule="auto"/>
      <w:jc w:val="center"/>
      <w:outlineLvl w:val="1"/>
    </w:pPr>
    <w:rPr>
      <w:rFonts w:ascii="Arial" w:hAnsi="Arial" w:eastAsia="宋体"/>
      <w:b/>
      <w:bCs/>
      <w:sz w:val="32"/>
      <w:szCs w:val="32"/>
    </w:rPr>
  </w:style>
  <w:style w:type="paragraph" w:styleId="7">
    <w:name w:val="heading 3"/>
    <w:basedOn w:val="1"/>
    <w:next w:val="1"/>
    <w:link w:val="18"/>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adjustRightInd w:val="0"/>
      <w:spacing w:after="120" w:line="240" w:lineRule="atLeast"/>
      <w:ind w:firstLine="420" w:firstLineChars="100"/>
      <w:jc w:val="left"/>
    </w:pPr>
    <w:rPr>
      <w:kern w:val="0"/>
      <w:sz w:val="24"/>
      <w:szCs w:val="24"/>
    </w:rPr>
  </w:style>
  <w:style w:type="paragraph" w:styleId="3">
    <w:name w:val="Body Text"/>
    <w:basedOn w:val="1"/>
    <w:next w:val="1"/>
    <w:qFormat/>
    <w:uiPriority w:val="0"/>
    <w:pPr>
      <w:spacing w:after="120" w:afterLines="0" w:afterAutospacing="0"/>
    </w:pPr>
  </w:style>
  <w:style w:type="paragraph" w:styleId="6">
    <w:name w:val="Normal Indent"/>
    <w:basedOn w:val="1"/>
    <w:qFormat/>
    <w:uiPriority w:val="0"/>
    <w:pPr>
      <w:ind w:firstLine="420" w:firstLineChars="200"/>
    </w:pPr>
  </w:style>
  <w:style w:type="paragraph" w:styleId="8">
    <w:name w:val="Body Text Indent"/>
    <w:basedOn w:val="1"/>
    <w:qFormat/>
    <w:uiPriority w:val="99"/>
    <w:pPr>
      <w:spacing w:after="120"/>
      <w:ind w:left="420" w:leftChars="200"/>
    </w:pPr>
    <w:rPr>
      <w:rFonts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8"/>
    <w:next w:val="1"/>
    <w:qFormat/>
    <w:uiPriority w:val="0"/>
    <w:pPr>
      <w:spacing w:after="0"/>
      <w:ind w:left="824" w:leftChars="400" w:firstLine="420" w:firstLineChars="200"/>
    </w:pPr>
    <w:rPr>
      <w:rFonts w:ascii="宋体" w:hAnsi="宋体" w:cs="Times New Roman"/>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标题 2 Char"/>
    <w:link w:val="5"/>
    <w:qFormat/>
    <w:uiPriority w:val="0"/>
    <w:rPr>
      <w:rFonts w:ascii="Arial" w:hAnsi="Arial" w:eastAsia="宋体" w:cs="Times New Roman"/>
      <w:b/>
      <w:bCs/>
      <w:sz w:val="32"/>
      <w:szCs w:val="32"/>
    </w:rPr>
  </w:style>
  <w:style w:type="character" w:customStyle="1" w:styleId="18">
    <w:name w:val="标题 3 Char"/>
    <w:link w:val="7"/>
    <w:qFormat/>
    <w:uiPriority w:val="0"/>
    <w:rPr>
      <w:rFonts w:eastAsia="宋体"/>
      <w:b/>
      <w:sz w:val="28"/>
    </w:rPr>
  </w:style>
  <w:style w:type="paragraph" w:styleId="19">
    <w:name w:val="List Paragraph"/>
    <w:basedOn w:val="1"/>
    <w:autoRedefine/>
    <w:qFormat/>
    <w:uiPriority w:val="34"/>
    <w:pPr>
      <w:ind w:firstLine="420" w:firstLineChars="200"/>
    </w:pPr>
    <w:rPr>
      <w:rFonts w:eastAsia="黑体"/>
      <w:bCs/>
      <w:sz w:val="30"/>
      <w:szCs w:val="30"/>
    </w:rPr>
  </w:style>
  <w:style w:type="character" w:customStyle="1" w:styleId="20">
    <w:name w:val="font51"/>
    <w:basedOn w:val="15"/>
    <w:qFormat/>
    <w:uiPriority w:val="0"/>
    <w:rPr>
      <w:rFonts w:hint="eastAsia" w:ascii="宋体" w:hAnsi="宋体" w:eastAsia="宋体" w:cs="宋体"/>
      <w:color w:val="000000"/>
      <w:sz w:val="24"/>
      <w:szCs w:val="24"/>
      <w:u w:val="none"/>
    </w:rPr>
  </w:style>
  <w:style w:type="character" w:customStyle="1" w:styleId="21">
    <w:name w:val="font61"/>
    <w:basedOn w:val="15"/>
    <w:qFormat/>
    <w:uiPriority w:val="0"/>
    <w:rPr>
      <w:rFonts w:hint="eastAsia" w:ascii="宋体" w:hAnsi="宋体" w:eastAsia="宋体" w:cs="宋体"/>
      <w:color w:val="000000"/>
      <w:sz w:val="24"/>
      <w:szCs w:val="24"/>
      <w:u w:val="none"/>
    </w:rPr>
  </w:style>
  <w:style w:type="character" w:customStyle="1" w:styleId="22">
    <w:name w:val="font41"/>
    <w:basedOn w:val="15"/>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e44c200f-446a-4724-9012-a566cc91ecb1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6DFF07</paraID>
      <start>11</start>
      <end>12</end>
      <status>unmodified</status>
      <modifiedWord/>
      <trackRevisions>false</trackRevisions>
    </reviewItem>
    <reviewItem>
      <errorID>7b950fd2-2bec-4db0-b5e9-171e17020a8b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46B7D3E7</paraID>
      <start>11</start>
      <end>12</end>
      <status>unmodified</status>
      <modifiedWord/>
      <trackRevisions>false</trackRevisions>
    </reviewItem>
    <reviewItem>
      <errorID>f21ab1ae-95f9-4cbe-a851-41b8d328707b</errorID>
      <errorWord>其它税</errorWord>
      <group>L1_Word</group>
      <groupName>字词问题</groupName>
      <ability>L2_Alias</ability>
      <abilityName>也作/曾用词</abilityName>
      <candidateList>
        <item>其他税</item>
      </candidateList>
      <explain>词汇[其它税]为不规范表述或旧称，其规范书面表述为[其他税]。</explain>
      <paraID> 33D6F80</paraID>
      <start>133</start>
      <end>136</end>
      <status>unmodified</status>
      <modifiedWord/>
      <trackRevisions>false</trackRevisions>
    </reviewItem>
    <reviewItem>
      <errorID>13f01529-1c63-4bba-970c-4941fbe6832f</errorID>
      <errorWord>、以及</errorWord>
      <group>L1_Punc</group>
      <groupName>标点问题</groupName>
      <ability>L2_Punc_CN</ability>
      <abilityName>标点符号问题</abilityName>
      <candidateList>
        <item>，以及</item>
      </candidateList>
      <explain>连接词前后不宜使用顿号，建议使用逗号。</explain>
      <paraID> 33D6F80</paraID>
      <start>141</start>
      <end>144</end>
      <status>unmodified</status>
      <modifiedWord/>
      <trackRevisions>false</trackRevisions>
    </reviewItem>
    <reviewItem>
      <errorID>66180a77-9b49-4c56-b593-525c5eadb2bc</errorID>
      <errorWord>(</errorWord>
      <group>L1_Format</group>
      <groupName>格式问题</groupName>
      <ability>L2_HalfPunc_CN</ability>
      <abilityName>全半角问题</abilityName>
      <candidateList>
        <item>（</item>
      </candidateList>
      <explain>文本全半角错误。</explain>
      <paraID>3AF535F7</paraID>
      <start>2</start>
      <end>3</end>
      <status>unmodified</status>
      <modifiedWord/>
      <trackRevisions>false</trackRevisions>
    </reviewItem>
    <reviewItem>
      <errorID>47662686-b337-4c69-8cae-7e684ac28561</errorID>
      <errorWord>)</errorWord>
      <group>L1_Format</group>
      <groupName>格式问题</groupName>
      <ability>L2_HalfPunc_CN</ability>
      <abilityName>全半角问题</abilityName>
      <candidateList>
        <item>）</item>
      </candidateList>
      <explain>文本全半角错误。</explain>
      <paraID>3AF535F7</paraID>
      <start>4</start>
      <end>5</end>
      <status>unmodified</status>
      <modifiedWord/>
      <trackRevisions>false</trackRevisions>
    </reviewItem>
    <reviewItem>
      <errorID>5c19a56e-987a-4b3d-a03d-8e721efec609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2C4D7A7A</paraID>
      <start>4</start>
      <end>5</end>
      <status>unmodified</status>
      <modifiedWord/>
      <trackRevisions>false</trackRevisions>
    </reviewItem>
    <reviewItem>
      <errorID>130715fa-7f5b-47cc-a7ce-c23663b17c27</errorID>
      <errorWord>(</errorWord>
      <group>L1_Format</group>
      <groupName>格式问题</groupName>
      <ability>L2_HalfPunc_CN</ability>
      <abilityName>全半角问题</abilityName>
      <candidateList>
        <item>（</item>
      </candidateList>
      <explain>文本全半角错误。</explain>
      <paraID> 4A45649</paraID>
      <start>23</start>
      <end>24</end>
      <status>unmodified</status>
      <modifiedWord/>
      <trackRevisions>false</trackRevisions>
    </reviewItem>
    <reviewItem>
      <errorID>5aeaf2f6-9874-485a-b13b-d5b39d8c432b</errorID>
      <errorWord>)</errorWord>
      <group>L1_Format</group>
      <groupName>格式问题</groupName>
      <ability>L2_HalfPunc_CN</ability>
      <abilityName>全半角问题</abilityName>
      <candidateList>
        <item>）</item>
      </candidateList>
      <explain>文本全半角错误。</explain>
      <paraID> 4A45649</paraID>
      <start>40</start>
      <end>41</end>
      <status>unmodified</status>
      <modifiedWord/>
      <trackRevisions>false</trackRevisions>
    </reviewItem>
    <reviewItem>
      <errorID>ed402383-1d4a-4e84-9dbe-49785fd059fc</errorID>
      <errorWord>(</errorWord>
      <group>L1_Format</group>
      <groupName>格式问题</groupName>
      <ability>L2_HalfPunc_CN</ability>
      <abilityName>全半角问题</abilityName>
      <candidateList>
        <item>（</item>
      </candidateList>
      <explain>文本全半角错误。</explain>
      <paraID>2C72DF26</paraID>
      <start>23</start>
      <end>24</end>
      <status>unmodified</status>
      <modifiedWord/>
      <trackRevisions>false</trackRevisions>
    </reviewItem>
    <reviewItem>
      <errorID>7c8f3064-ada1-4290-a7a1-c0f9b8d893a7</errorID>
      <errorWord>)</errorWord>
      <group>L1_Format</group>
      <groupName>格式问题</groupName>
      <ability>L2_HalfPunc_CN</ability>
      <abilityName>全半角问题</abilityName>
      <candidateList>
        <item>）</item>
      </candidateList>
      <explain>文本全半角错误。</explain>
      <paraID>2C72DF26</paraID>
      <start>40</start>
      <end>41</end>
      <status>unmodified</status>
      <modifiedWord/>
      <trackRevisions>false</trackRevisions>
    </reviewItem>
    <reviewItem>
      <errorID>01688100-3f22-45bb-b5d7-a2b109507ae7</errorID>
      <errorWord>(</errorWord>
      <group>L1_Format</group>
      <groupName>格式问题</groupName>
      <ability>L2_HalfPunc_CN</ability>
      <abilityName>全半角问题</abilityName>
      <candidateList>
        <item>（</item>
      </candidateList>
      <explain>文本全半角错误。</explain>
      <paraID>40DB13C1</paraID>
      <start>23</start>
      <end>24</end>
      <status>unmodified</status>
      <modifiedWord/>
      <trackRevisions>false</trackRevisions>
    </reviewItem>
    <reviewItem>
      <errorID>538b8e49-09ed-4972-8358-3fb86cfff149</errorID>
      <errorWord>)</errorWord>
      <group>L1_Format</group>
      <groupName>格式问题</groupName>
      <ability>L2_HalfPunc_CN</ability>
      <abilityName>全半角问题</abilityName>
      <candidateList>
        <item>）</item>
      </candidateList>
      <explain>文本全半角错误。</explain>
      <paraID>40DB13C1</paraID>
      <start>40</start>
      <end>41</end>
      <status>unmodified</status>
      <modifiedWord/>
      <trackRevisions>false</trackRevisions>
    </reviewItem>
    <reviewItem>
      <errorID>982faf23-b7c2-4a9b-b752-85f7f05e80a5</errorID>
      <errorWord>折皱</errorWord>
      <group>L1_Word</group>
      <groupName>字词问题</groupName>
      <ability>L2_Typo</ability>
      <abilityName>字词错误</abilityName>
      <candidateList>
        <item>褶皱</item>
      </candidateList>
      <explain/>
      <paraID>70D7C2C2</paraID>
      <start>28</start>
      <end>30</end>
      <status>unmodified</status>
      <modifiedWord/>
      <trackRevisions>false</trackRevisions>
    </reviewItem>
    <reviewItem>
      <errorID>fe9a0de1-fd27-4a68-bdc1-408e96d818f2</errorID>
      <errorWord>折装</errorWord>
      <group>L1_Word</group>
      <groupName>字词问题</groupName>
      <ability>L2_Typo</ability>
      <abilityName>字词错误</abilityName>
      <candidateList>
        <item>拆装</item>
      </candidateList>
      <explain/>
      <paraID>36B3F11B</paraID>
      <start>5</start>
      <end>7</end>
      <status>unmodified</status>
      <modifiedWord/>
      <trackRevisions>false</trackRevisions>
    </reviewItem>
    <reviewItem>
      <errorID>000a2dd2-9cc1-4e14-9e7f-ee2625919eb9</errorID>
      <errorWord>折皱</errorWord>
      <group>L1_Word</group>
      <groupName>字词问题</groupName>
      <ability>L2_Typo</ability>
      <abilityName>字词错误</abilityName>
      <candidateList>
        <item>褶皱</item>
      </candidateList>
      <explain/>
      <paraID>3900078E</paraID>
      <start>9</start>
      <end>11</end>
      <status>unmodified</status>
      <modifiedWord/>
      <trackRevisions>false</trackRevisions>
    </reviewItem>
    <reviewItem>
      <errorID>f41746c2-f8f4-4654-9718-336d8442d890</errorID>
      <errorWord>须</errorWord>
      <group>L1_Word</group>
      <groupName>字词问题</groupName>
      <ability>L2_Typo</ability>
      <abilityName>字词错误</abilityName>
      <candidateList>
        <item>需</item>
      </candidateList>
      <explain>存在发音相同字词的误用。</explain>
      <paraID>7EB3E1C7</paraID>
      <start>17</start>
      <end>18</end>
      <status>unmodified</status>
      <modifiedWord/>
      <trackRevisions>false</trackRevisions>
    </reviewItem>
    <reviewItem>
      <errorID>7be4df4b-ec44-4920-909c-26784014ac50</errorID>
      <errorWord>须</errorWord>
      <group>L1_Word</group>
      <groupName>字词问题</groupName>
      <ability>L2_Typo</ability>
      <abilityName>字词错误</abilityName>
      <candidateList>
        <item>需</item>
      </candidateList>
      <explain>存在发音相同字词的误用。</explain>
      <paraID>7EB3E1C7</paraID>
      <start>40</start>
      <end>41</end>
      <status>unmodified</status>
      <modifiedWord/>
      <trackRevisions>false</trackRevisions>
    </reviewItem>
    <reviewItem>
      <errorID>f64840be-d29f-4ba8-ae19-6203137a0d3c</errorID>
      <errorWord>标示</errorWord>
      <group>L1_Word</group>
      <groupName>字词问题</groupName>
      <ability>L2_Typo</ability>
      <abilityName>字词错误</abilityName>
      <candidateList>
        <item>标识</item>
      </candidateList>
      <explain>存在发音相同字词的误用。</explain>
      <paraID>5607301B</paraID>
      <start>18</start>
      <end>20</end>
      <status>unmodified</status>
      <modifiedWord/>
      <trackRevisions>false</trackRevisions>
    </reviewItem>
    <reviewItem>
      <errorID>95e38642-5a9e-4f4c-89b2-fcead09aebd5</errorID>
      <errorWord>打勾</errorWord>
      <group>L1_Word</group>
      <groupName>字词问题</groupName>
      <ability>L2_Typo</ability>
      <abilityName>字词错误</abilityName>
      <candidateList>
        <item>打钩</item>
      </candidateList>
      <explain>存在发音相同字词的误用。</explain>
      <paraID> BCDB0D0</paraID>
      <start>18</start>
      <end>20</end>
      <status>unmodified</status>
      <modifiedWord/>
      <trackRevisions>false</trackRevisions>
    </reviewItem>
    <reviewItem>
      <errorID>f16f665a-87f1-4942-aea8-e5985c071a82</errorID>
      <errorWord>作记号</errorWord>
      <group>L1_Word</group>
      <groupName>字词问题</groupName>
      <ability>L2_Typo</ability>
      <abilityName>字词错误</abilityName>
      <candidateList>
        <item>做记号</item>
      </candidateList>
      <explain/>
      <paraID> BCDB0D0</paraID>
      <start>21</start>
      <end>24</end>
      <status>unmodified</status>
      <modifiedWord/>
      <trackRevisions>false</trackRevisions>
    </reviewItem>
    <reviewItem>
      <errorID>43603804-f693-49c8-bc84-10e4ead92363</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5F3AB736</paraID>
      <start>71</start>
      <end>74</end>
      <status>unmodified</status>
      <modifiedWord/>
      <trackRevisions>false</trackRevisions>
    </reviewItem>
    <reviewItem>
      <errorID>703e266a-a294-457c-aadb-7b4ecfc4669d</errorID>
      <errorWord>)</errorWord>
      <group>L1_Format</group>
      <groupName>格式问题</groupName>
      <ability>L2_HalfPunc_CN</ability>
      <abilityName>全半角问题</abilityName>
      <candidateList>
        <item>）</item>
      </candidateList>
      <explain>文本全半角错误。</explain>
      <paraID>289F16E8</paraID>
      <start>5</start>
      <end>6</end>
      <status>unmodified</status>
      <modifiedWord/>
      <trackRevisions>false</trackRevisions>
    </reviewItem>
    <reviewItem>
      <errorID>588bb3fc-cc8c-4f2f-aea2-6c4575d7248b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412C16AE</paraID>
      <start>0</start>
      <end>2</end>
      <status>unmodified</status>
      <modifiedWord/>
      <trackRevisions>false</trackRevisions>
    </reviewItem>
    <reviewItem>
      <errorID>a1cd0223-eb55-4790-930c-ad5275163fbc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53DC7291</paraID>
      <start>0</start>
      <end>2</end>
      <status>unmodified</status>
      <modifiedWord/>
      <trackRevisions>false</trackRevisions>
    </reviewItem>
    <reviewItem>
      <errorID>29cc1ddc-d384-4add-ac50-b7e67306fe54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5C046BB</paraID>
      <start>0</start>
      <end>2</end>
      <status>unmodified</status>
      <modifiedWord/>
      <trackRevisions>false</trackRevisions>
    </reviewItem>
    <reviewItem>
      <errorID>fb0250fe-0515-4e71-9ca8-d25eae4f5caf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412CA7D3</paraID>
      <start>0</start>
      <end>2</end>
      <status>unmodified</status>
      <modifiedWord/>
      <trackRevisions>false</trackRevisions>
    </reviewItem>
    <reviewItem>
      <errorID>81969814-2144-44cf-a21d-8f7c7724c0c1</errorID>
      <errorWord>)</errorWord>
      <group>L1_Format</group>
      <groupName>格式问题</groupName>
      <ability>L2_HalfPunc_CN</ability>
      <abilityName>全半角问题</abilityName>
      <candidateList>
        <item>）</item>
      </candidateList>
      <explain>文本全半角错误。</explain>
      <paraID>7CB6B730</paraID>
      <start>13</start>
      <end>14</end>
      <status>unmodified</status>
      <modifiedWord/>
      <trackRevisions>false</trackRevisions>
    </reviewItem>
    <reviewItem>
      <errorID>78886681-8ffd-464e-9d6b-f435b261e445</errorID>
      <errorWord>(</errorWord>
      <group>L1_Format</group>
      <groupName>格式问题</groupName>
      <ability>L2_HalfPunc_CN</ability>
      <abilityName>全半角问题</abilityName>
      <candidateList>
        <item>（</item>
      </candidateList>
      <explain>文本全半角错误。</explain>
      <paraID>4F5CCC31</paraID>
      <start>0</start>
      <end>1</end>
      <status>unmodified</status>
      <modifiedWord/>
      <trackRevisions>false</trackRevisions>
    </reviewItem>
    <reviewItem>
      <errorID>1c54127f-785d-40b0-937d-d44cacbe50c9</errorID>
      <errorWord>)</errorWord>
      <group>L1_Format</group>
      <groupName>格式问题</groupName>
      <ability>L2_HalfPunc_CN</ability>
      <abilityName>全半角问题</abilityName>
      <candidateList>
        <item>）</item>
      </candidateList>
      <explain>文本全半角错误。</explain>
      <paraID>4F5CCC31</paraID>
      <start>4</start>
      <end>5</end>
      <status>unmodified</status>
      <modifiedWord/>
      <trackRevisions>false</trackRevisions>
    </reviewItem>
    <reviewItem>
      <errorID>fd1137b5-c2dd-4e4e-96d9-b418dcd77402</errorID>
      <errorWord>(</errorWord>
      <group>L1_Format</group>
      <groupName>格式问题</groupName>
      <ability>L2_HalfPunc_CN</ability>
      <abilityName>全半角问题</abilityName>
      <candidateList>
        <item>（</item>
      </candidateList>
      <explain>文本全半角错误。</explain>
      <paraID>12CBB50E</paraID>
      <start>0</start>
      <end>1</end>
      <status>unmodified</status>
      <modifiedWord/>
      <trackRevisions>false</trackRevisions>
    </reviewItem>
    <reviewItem>
      <errorID>49cfcd9e-a061-4989-b598-9b260757a154</errorID>
      <errorWord>)</errorWord>
      <group>L1_Format</group>
      <groupName>格式问题</groupName>
      <ability>L2_HalfPunc_CN</ability>
      <abilityName>全半角问题</abilityName>
      <candidateList>
        <item>）</item>
      </candidateList>
      <explain>文本全半角错误。</explain>
      <paraID>12CBB50E</paraID>
      <start>4</start>
      <end>5</end>
      <status>unmodified</status>
      <modifiedWord/>
      <trackRevisions>false</trackRevisions>
    </reviewItem>
    <reviewItem>
      <errorID>001a8791-3ee1-428a-94fd-332ae0120963</errorID>
      <errorWord>)</errorWord>
      <group>L1_Format</group>
      <groupName>格式问题</groupName>
      <ability>L2_HalfPunc_CN</ability>
      <abilityName>全半角问题</abilityName>
      <candidateList>
        <item>）</item>
      </candidateList>
      <explain>文本全半角错误。</explain>
      <paraID>113F52E1</paraID>
      <start>9</start>
      <end>10</end>
      <status>unmodified</status>
      <modifiedWord/>
      <trackRevisions>false</trackRevisions>
    </reviewItem>
    <reviewItem>
      <errorID>05602d43-cf2c-4fa6-853e-2d2ccde72c92</errorID>
      <errorWord>。】</errorWord>
      <group>L1_Punc</group>
      <groupName>标点问题</groupName>
      <ability>L2_Punc_CN</ability>
      <abilityName>标点符号问题</abilityName>
      <candidateList>
        <item>】</item>
      </candidateList>
      <explain/>
      <paraID>638D75E0</paraID>
      <start>22</start>
      <end>24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1dea20-7f5c-4010-9f6c-9fb57a5e52eb}">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5866</Words>
  <Characters>6079</Characters>
  <Lines>0</Lines>
  <Paragraphs>0</Paragraphs>
  <TotalTime>14</TotalTime>
  <ScaleCrop>false</ScaleCrop>
  <LinksUpToDate>false</LinksUpToDate>
  <CharactersWithSpaces>6106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Administrator</cp:lastModifiedBy>
  <cp:lastPrinted>2026-08-20T03:01:06Z</cp:lastPrinted>
  <dcterms:modified xsi:type="dcterms:W3CDTF">2026-08-20T03:14:42Z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83184CD0E3E445C7925BC2F3B140FC88_13</vt:lpwstr>
  </property>
  <property fmtid="{D5CDD505-2E9C-101B-9397-08002B2CF9AE}" pid="4" name="KSOTemplateDocerSaveRecord">
    <vt:lpwstr>eyJoZGlkIjoiYjQ2ZjcwNWRkNTgwNGZiNTA5NDQxNmJjNzZkMTVlNGYiLCJ1c2VySWQiOiIyNzE1MDk4NzUifQ==</vt:lpwstr>
  </property>
</Properties>
</file>