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F25E3">
      <w:pPr>
        <w:pStyle w:val="3"/>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ascii="Times New Roman" w:hAnsi="Times New Roman"/>
          <w:b/>
          <w:bCs/>
          <w:sz w:val="24"/>
          <w:szCs w:val="32"/>
        </w:rPr>
      </w:pPr>
      <w:r>
        <w:rPr>
          <w:rFonts w:hint="eastAsia" w:ascii="Times New Roman" w:hAnsi="Times New Roman" w:eastAsia="宋体" w:cs="Times New Roman"/>
          <w:color w:val="auto"/>
          <w:highlight w:val="none"/>
          <w:lang w:val="en-US" w:eastAsia="zh-CN"/>
        </w:rPr>
        <w:t>中山市口腔医院202</w:t>
      </w:r>
      <w:r>
        <w:rPr>
          <w:rFonts w:hint="eastAsia" w:ascii="Times New Roman" w:hAnsi="Times New Roman" w:cs="Times New Roman"/>
          <w:color w:val="auto"/>
          <w:highlight w:val="none"/>
          <w:lang w:val="en-US" w:eastAsia="zh-CN"/>
        </w:rPr>
        <w:t>6</w:t>
      </w:r>
      <w:bookmarkStart w:id="0" w:name="_GoBack"/>
      <w:bookmarkEnd w:id="0"/>
      <w:r>
        <w:rPr>
          <w:rFonts w:hint="eastAsia" w:ascii="Times New Roman" w:hAnsi="Times New Roman" w:eastAsia="宋体" w:cs="Times New Roman"/>
          <w:color w:val="auto"/>
          <w:highlight w:val="none"/>
          <w:lang w:val="en-US" w:eastAsia="zh-CN"/>
        </w:rPr>
        <w:t>学年中山市国家监测点学校监测与干预日程餐食供应项目</w:t>
      </w:r>
    </w:p>
    <w:p w14:paraId="69CF26DB">
      <w:pPr>
        <w:pStyle w:val="3"/>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ascii="Times New Roman" w:hAnsi="Times New Roman" w:eastAsia="微软雅黑" w:cs="微软雅黑"/>
          <w:sz w:val="24"/>
          <w:szCs w:val="24"/>
          <w:lang w:val="en-US" w:eastAsia="zh-CN"/>
        </w:rPr>
      </w:pPr>
      <w:r>
        <w:rPr>
          <w:rFonts w:hint="eastAsia" w:ascii="Times New Roman" w:hAnsi="Times New Roman" w:eastAsia="宋体" w:cs="Times New Roman"/>
          <w:color w:val="auto"/>
          <w:highlight w:val="none"/>
          <w:lang w:val="en-US" w:eastAsia="zh-CN"/>
        </w:rPr>
        <w:t>用户需求</w:t>
      </w:r>
    </w:p>
    <w:p w14:paraId="77DBD842">
      <w:pPr>
        <w:numPr>
          <w:ilvl w:val="0"/>
          <w:numId w:val="0"/>
        </w:numPr>
        <w:adjustRightInd w:val="0"/>
        <w:snapToGrid w:val="0"/>
        <w:ind w:left="0" w:leftChars="0" w:firstLine="0" w:firstLineChars="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一、总则</w:t>
      </w:r>
    </w:p>
    <w:p w14:paraId="09974BAE">
      <w:pPr>
        <w:numPr>
          <w:ilvl w:val="0"/>
          <w:numId w:val="0"/>
        </w:numPr>
        <w:adjustRightInd w:val="0"/>
        <w:snapToGrid w:val="0"/>
        <w:ind w:left="0" w:leftChars="0" w:firstLine="0" w:firstLineChars="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1、项目名称：中山市口腔医院2026学年中山市国家监测点学校监测与干预日程餐食供应项目</w:t>
      </w:r>
    </w:p>
    <w:p w14:paraId="1689843C">
      <w:pPr>
        <w:numPr>
          <w:ilvl w:val="0"/>
          <w:numId w:val="0"/>
        </w:numPr>
        <w:adjustRightInd w:val="0"/>
        <w:snapToGrid w:val="0"/>
        <w:ind w:left="0" w:leftChars="0" w:firstLine="0" w:firstLineChars="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2、预算总额：35000元</w:t>
      </w:r>
    </w:p>
    <w:p w14:paraId="2840C3DA">
      <w:pPr>
        <w:numPr>
          <w:ilvl w:val="0"/>
          <w:numId w:val="0"/>
        </w:numPr>
        <w:adjustRightInd w:val="0"/>
        <w:snapToGrid w:val="0"/>
        <w:ind w:left="0" w:leftChars="0" w:firstLine="0" w:firstLineChars="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3、服务期限：预计202</w:t>
      </w:r>
      <w:r>
        <w:rPr>
          <w:rFonts w:hint="eastAsia" w:eastAsia="微软雅黑" w:cs="微软雅黑"/>
          <w:sz w:val="24"/>
          <w:szCs w:val="24"/>
          <w:lang w:val="en-US" w:eastAsia="zh-CN"/>
        </w:rPr>
        <w:t>6</w:t>
      </w:r>
      <w:r>
        <w:rPr>
          <w:rFonts w:hint="eastAsia" w:ascii="Times New Roman" w:hAnsi="Times New Roman" w:eastAsia="微软雅黑" w:cs="微软雅黑"/>
          <w:sz w:val="24"/>
          <w:szCs w:val="24"/>
          <w:lang w:val="en-US" w:eastAsia="zh-CN"/>
        </w:rPr>
        <w:t>年9月</w:t>
      </w:r>
      <w:r>
        <w:rPr>
          <w:rFonts w:hint="eastAsia" w:eastAsia="微软雅黑" w:cs="微软雅黑"/>
          <w:sz w:val="24"/>
          <w:szCs w:val="24"/>
          <w:lang w:val="en-US" w:eastAsia="zh-CN"/>
        </w:rPr>
        <w:t>7日</w:t>
      </w:r>
      <w:r>
        <w:rPr>
          <w:rFonts w:hint="eastAsia" w:ascii="Times New Roman" w:hAnsi="Times New Roman" w:eastAsia="微软雅黑" w:cs="微软雅黑"/>
          <w:sz w:val="24"/>
          <w:szCs w:val="24"/>
          <w:lang w:val="en-US" w:eastAsia="zh-CN"/>
        </w:rPr>
        <w:t>开始，为期一个月，具体配送日期以实际监测日期为准</w:t>
      </w:r>
      <w:r>
        <w:rPr>
          <w:rFonts w:hint="eastAsia" w:eastAsia="微软雅黑" w:cs="微软雅黑"/>
          <w:sz w:val="24"/>
          <w:szCs w:val="24"/>
          <w:lang w:val="en-US" w:eastAsia="zh-CN"/>
        </w:rPr>
        <w:t>。</w:t>
      </w:r>
    </w:p>
    <w:p w14:paraId="4A1A5319">
      <w:pPr>
        <w:numPr>
          <w:ilvl w:val="0"/>
          <w:numId w:val="0"/>
        </w:numPr>
        <w:adjustRightInd w:val="0"/>
        <w:snapToGrid w:val="0"/>
        <w:ind w:left="0" w:leftChars="0" w:firstLine="0" w:firstLineChars="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二、服务内容</w:t>
      </w:r>
    </w:p>
    <w:p w14:paraId="421D7C14">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（一）配送需求</w:t>
      </w:r>
    </w:p>
    <w:p w14:paraId="78AB35E9">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w:t>
      </w:r>
      <w:r>
        <w:rPr>
          <w:rFonts w:hint="default" w:ascii="Times New Roman" w:hAnsi="Times New Roman" w:eastAsia="微软雅黑" w:cs="微软雅黑"/>
          <w:sz w:val="24"/>
          <w:szCs w:val="24"/>
          <w:lang w:val="en-US" w:eastAsia="zh-CN"/>
        </w:rPr>
        <w:t>配送对象：</w:t>
      </w:r>
      <w:r>
        <w:rPr>
          <w:rFonts w:hint="eastAsia" w:ascii="Times New Roman" w:hAnsi="Times New Roman" w:eastAsia="微软雅黑" w:cs="微软雅黑"/>
          <w:sz w:val="24"/>
          <w:szCs w:val="24"/>
          <w:lang w:val="en-US" w:eastAsia="zh-CN"/>
        </w:rPr>
        <w:t>为参与</w:t>
      </w:r>
      <w:r>
        <w:rPr>
          <w:rFonts w:hint="default" w:ascii="Times New Roman" w:hAnsi="Times New Roman" w:eastAsia="微软雅黑" w:cs="微软雅黑"/>
          <w:sz w:val="24"/>
          <w:szCs w:val="24"/>
          <w:lang w:val="en-US" w:eastAsia="zh-CN"/>
        </w:rPr>
        <w:t>中山市口腔医院202</w:t>
      </w:r>
      <w:r>
        <w:rPr>
          <w:rFonts w:hint="eastAsia" w:ascii="Times New Roman" w:hAnsi="Times New Roman" w:eastAsia="微软雅黑" w:cs="微软雅黑"/>
          <w:sz w:val="24"/>
          <w:szCs w:val="24"/>
          <w:lang w:val="en-US" w:eastAsia="zh-CN"/>
        </w:rPr>
        <w:t>6</w:t>
      </w:r>
      <w:r>
        <w:rPr>
          <w:rFonts w:hint="default" w:ascii="Times New Roman" w:hAnsi="Times New Roman" w:eastAsia="微软雅黑" w:cs="微软雅黑"/>
          <w:sz w:val="24"/>
          <w:szCs w:val="24"/>
          <w:lang w:val="en-US" w:eastAsia="zh-CN"/>
        </w:rPr>
        <w:t>学年中山市国家监测点学校监测与干预</w:t>
      </w:r>
      <w:r>
        <w:rPr>
          <w:rFonts w:hint="eastAsia" w:ascii="Times New Roman" w:hAnsi="Times New Roman" w:eastAsia="微软雅黑" w:cs="微软雅黑"/>
          <w:sz w:val="24"/>
          <w:szCs w:val="24"/>
          <w:lang w:val="en-US" w:eastAsia="zh-CN"/>
        </w:rPr>
        <w:t>活动的我院相关医护工作人员配送早午餐</w:t>
      </w:r>
      <w:r>
        <w:rPr>
          <w:rFonts w:hint="default" w:ascii="Times New Roman" w:hAnsi="Times New Roman" w:eastAsia="微软雅黑" w:cs="微软雅黑"/>
          <w:sz w:val="24"/>
          <w:szCs w:val="24"/>
          <w:lang w:val="en-US" w:eastAsia="zh-CN"/>
        </w:rPr>
        <w:t>，</w:t>
      </w:r>
      <w:r>
        <w:rPr>
          <w:rFonts w:hint="eastAsia" w:eastAsia="微软雅黑" w:cs="微软雅黑"/>
          <w:sz w:val="24"/>
          <w:szCs w:val="24"/>
          <w:lang w:val="en-US" w:eastAsia="zh-CN"/>
        </w:rPr>
        <w:t>每日平均</w:t>
      </w:r>
      <w:r>
        <w:rPr>
          <w:rFonts w:hint="default" w:ascii="Times New Roman" w:hAnsi="Times New Roman" w:eastAsia="微软雅黑" w:cs="微软雅黑"/>
          <w:sz w:val="24"/>
          <w:szCs w:val="24"/>
          <w:lang w:val="en-US" w:eastAsia="zh-CN"/>
        </w:rPr>
        <w:t>人数约</w:t>
      </w:r>
      <w:r>
        <w:rPr>
          <w:rFonts w:hint="eastAsia" w:ascii="Times New Roman" w:hAnsi="Times New Roman" w:eastAsia="微软雅黑" w:cs="微软雅黑"/>
          <w:sz w:val="24"/>
          <w:szCs w:val="24"/>
          <w:lang w:val="en-US" w:eastAsia="zh-CN"/>
        </w:rPr>
        <w:t>为</w:t>
      </w:r>
      <w:r>
        <w:rPr>
          <w:rFonts w:hint="eastAsia" w:eastAsia="微软雅黑" w:cs="微软雅黑"/>
          <w:sz w:val="24"/>
          <w:szCs w:val="24"/>
          <w:lang w:val="en-US" w:eastAsia="zh-CN"/>
        </w:rPr>
        <w:t>3</w:t>
      </w:r>
      <w:r>
        <w:rPr>
          <w:rFonts w:hint="eastAsia" w:ascii="Times New Roman" w:hAnsi="Times New Roman" w:eastAsia="微软雅黑" w:cs="微软雅黑"/>
          <w:sz w:val="24"/>
          <w:szCs w:val="24"/>
          <w:lang w:val="en-US" w:eastAsia="zh-CN"/>
        </w:rPr>
        <w:t>5</w:t>
      </w:r>
      <w:r>
        <w:rPr>
          <w:rFonts w:hint="default" w:ascii="Times New Roman" w:hAnsi="Times New Roman" w:eastAsia="微软雅黑" w:cs="微软雅黑"/>
          <w:sz w:val="24"/>
          <w:szCs w:val="24"/>
          <w:lang w:val="en-US" w:eastAsia="zh-CN"/>
        </w:rPr>
        <w:t>人</w:t>
      </w:r>
      <w:r>
        <w:rPr>
          <w:rFonts w:hint="eastAsia" w:ascii="Times New Roman" w:hAnsi="Times New Roman" w:eastAsia="微软雅黑" w:cs="微软雅黑"/>
          <w:sz w:val="24"/>
          <w:szCs w:val="24"/>
          <w:lang w:val="en-US" w:eastAsia="zh-CN"/>
        </w:rPr>
        <w:t>。每日实际配送数量以及地址由采购方提前一天与配送方对接</w:t>
      </w:r>
      <w:r>
        <w:rPr>
          <w:rFonts w:hint="default" w:ascii="Times New Roman" w:hAnsi="Times New Roman" w:eastAsia="微软雅黑" w:cs="微软雅黑"/>
          <w:sz w:val="24"/>
          <w:szCs w:val="24"/>
          <w:lang w:val="en-US" w:eastAsia="zh-CN"/>
        </w:rPr>
        <w:t>。</w:t>
      </w:r>
    </w:p>
    <w:p w14:paraId="5124254D">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w:t>
      </w:r>
      <w:r>
        <w:rPr>
          <w:rFonts w:hint="default" w:ascii="Times New Roman" w:hAnsi="Times New Roman" w:eastAsia="微软雅黑" w:cs="微软雅黑"/>
          <w:sz w:val="24"/>
          <w:szCs w:val="24"/>
          <w:lang w:val="en-US" w:eastAsia="zh-CN"/>
        </w:rPr>
        <w:t>配送</w:t>
      </w:r>
      <w:r>
        <w:rPr>
          <w:rFonts w:hint="eastAsia" w:ascii="Times New Roman" w:hAnsi="Times New Roman" w:eastAsia="微软雅黑" w:cs="微软雅黑"/>
          <w:sz w:val="24"/>
          <w:szCs w:val="24"/>
          <w:lang w:val="en-US" w:eastAsia="zh-CN"/>
        </w:rPr>
        <w:t>时间、地点</w:t>
      </w:r>
      <w:r>
        <w:rPr>
          <w:rFonts w:hint="default" w:ascii="Times New Roman" w:hAnsi="Times New Roman" w:eastAsia="微软雅黑" w:cs="微软雅黑"/>
          <w:sz w:val="24"/>
          <w:szCs w:val="24"/>
          <w:lang w:val="en-US" w:eastAsia="zh-CN"/>
        </w:rPr>
        <w:t>：</w:t>
      </w:r>
      <w:r>
        <w:rPr>
          <w:rFonts w:hint="eastAsia" w:ascii="Times New Roman" w:hAnsi="Times New Roman" w:eastAsia="微软雅黑" w:cs="微软雅黑"/>
          <w:sz w:val="24"/>
          <w:szCs w:val="24"/>
          <w:lang w:val="en-US" w:eastAsia="zh-CN"/>
        </w:rPr>
        <w:t>早餐需于当日上午8点前送到采购方指定地点，午餐需于当日中午11点前送至采购方指定地点。每日配送地点不同，日程安排中涉及到的地点如下</w:t>
      </w:r>
      <w:r>
        <w:rPr>
          <w:rFonts w:hint="default" w:ascii="Times New Roman" w:hAnsi="Times New Roman" w:eastAsia="微软雅黑" w:cs="微软雅黑"/>
          <w:sz w:val="24"/>
          <w:szCs w:val="24"/>
          <w:lang w:val="en-US" w:eastAsia="zh-CN"/>
        </w:rPr>
        <w:t>。</w:t>
      </w:r>
    </w:p>
    <w:tbl>
      <w:tblPr>
        <w:tblStyle w:val="5"/>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8"/>
        <w:gridCol w:w="6271"/>
      </w:tblGrid>
      <w:tr w14:paraId="2954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blHeader/>
          <w:jc w:val="center"/>
        </w:trPr>
        <w:tc>
          <w:tcPr>
            <w:tcW w:w="2108" w:type="dxa"/>
            <w:vAlign w:val="center"/>
          </w:tcPr>
          <w:p w14:paraId="3F6D88DF">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镇街</w:t>
            </w:r>
          </w:p>
        </w:tc>
        <w:tc>
          <w:tcPr>
            <w:tcW w:w="6271" w:type="dxa"/>
            <w:vAlign w:val="center"/>
          </w:tcPr>
          <w:p w14:paraId="029A44A2">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学校名称</w:t>
            </w:r>
          </w:p>
        </w:tc>
      </w:tr>
      <w:tr w14:paraId="5F30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restart"/>
            <w:vAlign w:val="center"/>
          </w:tcPr>
          <w:p w14:paraId="1FF172A3">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0336295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中山市纪雅学校</w:t>
            </w:r>
          </w:p>
        </w:tc>
      </w:tr>
      <w:tr w14:paraId="46B5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09156284">
            <w:pPr>
              <w:adjustRightInd w:val="0"/>
              <w:snapToGrid w:val="0"/>
              <w:jc w:val="center"/>
              <w:rPr>
                <w:rFonts w:hint="eastAsia" w:ascii="Times New Roman" w:hAnsi="Times New Roman" w:eastAsia="微软雅黑" w:cs="微软雅黑"/>
                <w:sz w:val="24"/>
                <w:szCs w:val="24"/>
              </w:rPr>
            </w:pPr>
          </w:p>
        </w:tc>
        <w:tc>
          <w:tcPr>
            <w:tcW w:w="6271" w:type="dxa"/>
            <w:vAlign w:val="center"/>
          </w:tcPr>
          <w:p w14:paraId="0C2810D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广东博文学校</w:t>
            </w:r>
          </w:p>
        </w:tc>
      </w:tr>
      <w:tr w14:paraId="697B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754919E8">
            <w:pPr>
              <w:adjustRightInd w:val="0"/>
              <w:snapToGrid w:val="0"/>
              <w:jc w:val="center"/>
              <w:rPr>
                <w:rFonts w:hint="eastAsia" w:ascii="Times New Roman" w:hAnsi="Times New Roman" w:eastAsia="微软雅黑" w:cs="微软雅黑"/>
                <w:sz w:val="24"/>
                <w:szCs w:val="24"/>
              </w:rPr>
            </w:pPr>
          </w:p>
        </w:tc>
        <w:tc>
          <w:tcPr>
            <w:tcW w:w="6271" w:type="dxa"/>
            <w:vAlign w:val="center"/>
          </w:tcPr>
          <w:p w14:paraId="58B80E5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中山市三鑫凯茵学校</w:t>
            </w:r>
          </w:p>
        </w:tc>
      </w:tr>
      <w:tr w14:paraId="2356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38B960DD">
            <w:pPr>
              <w:adjustRightInd w:val="0"/>
              <w:snapToGrid w:val="0"/>
              <w:jc w:val="center"/>
              <w:rPr>
                <w:rFonts w:hint="eastAsia" w:ascii="Times New Roman" w:hAnsi="Times New Roman" w:eastAsia="微软雅黑" w:cs="微软雅黑"/>
                <w:sz w:val="24"/>
                <w:szCs w:val="24"/>
              </w:rPr>
            </w:pPr>
          </w:p>
        </w:tc>
        <w:tc>
          <w:tcPr>
            <w:tcW w:w="6271" w:type="dxa"/>
            <w:vAlign w:val="center"/>
          </w:tcPr>
          <w:p w14:paraId="236C69CC">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中山市火炬科学技术学校</w:t>
            </w:r>
          </w:p>
        </w:tc>
      </w:tr>
      <w:tr w14:paraId="7048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11E9EB7D">
            <w:pPr>
              <w:adjustRightInd w:val="0"/>
              <w:snapToGrid w:val="0"/>
              <w:jc w:val="center"/>
              <w:rPr>
                <w:rFonts w:hint="eastAsia" w:ascii="Times New Roman" w:hAnsi="Times New Roman" w:eastAsia="微软雅黑" w:cs="微软雅黑"/>
                <w:sz w:val="24"/>
                <w:szCs w:val="24"/>
              </w:rPr>
            </w:pPr>
          </w:p>
        </w:tc>
        <w:tc>
          <w:tcPr>
            <w:tcW w:w="6271" w:type="dxa"/>
            <w:vAlign w:val="center"/>
          </w:tcPr>
          <w:p w14:paraId="12545ADC">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中山火炬高技术产业开发区第二中学</w:t>
            </w:r>
          </w:p>
        </w:tc>
      </w:tr>
      <w:tr w14:paraId="71AA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4D0B1CE3">
            <w:pPr>
              <w:adjustRightInd w:val="0"/>
              <w:snapToGrid w:val="0"/>
              <w:jc w:val="center"/>
              <w:rPr>
                <w:rFonts w:hint="eastAsia" w:ascii="Times New Roman" w:hAnsi="Times New Roman" w:eastAsia="微软雅黑" w:cs="微软雅黑"/>
                <w:sz w:val="24"/>
                <w:szCs w:val="24"/>
              </w:rPr>
            </w:pPr>
          </w:p>
        </w:tc>
        <w:tc>
          <w:tcPr>
            <w:tcW w:w="6271" w:type="dxa"/>
            <w:vAlign w:val="center"/>
          </w:tcPr>
          <w:p w14:paraId="00D5D99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中山火炬高技术产业开发区第五小学</w:t>
            </w:r>
          </w:p>
        </w:tc>
      </w:tr>
      <w:tr w14:paraId="516E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1777FED1">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7E7CB43C">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中山市小榄镇花城中学</w:t>
            </w:r>
          </w:p>
        </w:tc>
      </w:tr>
      <w:tr w14:paraId="762E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255780F2">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6EEA00E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中山市濠头中学</w:t>
            </w:r>
          </w:p>
        </w:tc>
      </w:tr>
      <w:tr w14:paraId="498B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restart"/>
            <w:vAlign w:val="center"/>
          </w:tcPr>
          <w:p w14:paraId="4CE7F5A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465FC511">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中山市小榄镇升平小学</w:t>
            </w:r>
          </w:p>
        </w:tc>
      </w:tr>
      <w:tr w14:paraId="4896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1BF7B543">
            <w:pPr>
              <w:adjustRightInd w:val="0"/>
              <w:snapToGrid w:val="0"/>
              <w:jc w:val="center"/>
              <w:rPr>
                <w:rFonts w:hint="eastAsia" w:ascii="Times New Roman" w:hAnsi="Times New Roman" w:eastAsia="微软雅黑" w:cs="微软雅黑"/>
                <w:sz w:val="24"/>
                <w:szCs w:val="24"/>
              </w:rPr>
            </w:pPr>
          </w:p>
        </w:tc>
        <w:tc>
          <w:tcPr>
            <w:tcW w:w="6271" w:type="dxa"/>
            <w:vAlign w:val="center"/>
          </w:tcPr>
          <w:p w14:paraId="4D20A99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中山市小榄镇联丰小学</w:t>
            </w:r>
          </w:p>
        </w:tc>
      </w:tr>
      <w:tr w14:paraId="2642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52FEE832">
            <w:pPr>
              <w:adjustRightInd w:val="0"/>
              <w:snapToGrid w:val="0"/>
              <w:jc w:val="center"/>
              <w:rPr>
                <w:rFonts w:hint="eastAsia" w:ascii="Times New Roman" w:hAnsi="Times New Roman" w:eastAsia="微软雅黑" w:cs="微软雅黑"/>
                <w:sz w:val="24"/>
                <w:szCs w:val="24"/>
              </w:rPr>
            </w:pPr>
          </w:p>
        </w:tc>
        <w:tc>
          <w:tcPr>
            <w:tcW w:w="6271" w:type="dxa"/>
            <w:vAlign w:val="center"/>
          </w:tcPr>
          <w:p w14:paraId="151F869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中山市小榄中学</w:t>
            </w:r>
          </w:p>
        </w:tc>
      </w:tr>
      <w:tr w14:paraId="33A1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Merge w:val="continue"/>
            <w:vAlign w:val="center"/>
          </w:tcPr>
          <w:p w14:paraId="3B6675F6">
            <w:pPr>
              <w:adjustRightInd w:val="0"/>
              <w:snapToGrid w:val="0"/>
              <w:jc w:val="center"/>
              <w:rPr>
                <w:rFonts w:hint="eastAsia" w:ascii="Times New Roman" w:hAnsi="Times New Roman" w:eastAsia="微软雅黑" w:cs="微软雅黑"/>
                <w:sz w:val="24"/>
                <w:szCs w:val="24"/>
              </w:rPr>
            </w:pPr>
          </w:p>
        </w:tc>
        <w:tc>
          <w:tcPr>
            <w:tcW w:w="6271" w:type="dxa"/>
            <w:vAlign w:val="center"/>
          </w:tcPr>
          <w:p w14:paraId="706F193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中山市小榄镇华侨中学</w:t>
            </w:r>
          </w:p>
        </w:tc>
      </w:tr>
      <w:tr w14:paraId="59CC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521E9A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南朗街道</w:t>
            </w:r>
          </w:p>
        </w:tc>
        <w:tc>
          <w:tcPr>
            <w:tcW w:w="6271" w:type="dxa"/>
            <w:vAlign w:val="center"/>
          </w:tcPr>
          <w:p w14:paraId="0880EBD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中山市南朗街道翠亨小学</w:t>
            </w:r>
          </w:p>
        </w:tc>
      </w:tr>
      <w:tr w14:paraId="2521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1279643D">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民众街道</w:t>
            </w:r>
          </w:p>
        </w:tc>
        <w:tc>
          <w:tcPr>
            <w:tcW w:w="6271" w:type="dxa"/>
            <w:vAlign w:val="center"/>
          </w:tcPr>
          <w:p w14:paraId="1589EE4F">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中山市民众街道中心小学</w:t>
            </w:r>
          </w:p>
        </w:tc>
      </w:tr>
      <w:tr w14:paraId="74A8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6181AE0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阜沙镇</w:t>
            </w:r>
          </w:p>
        </w:tc>
        <w:tc>
          <w:tcPr>
            <w:tcW w:w="6271" w:type="dxa"/>
            <w:vAlign w:val="center"/>
          </w:tcPr>
          <w:p w14:paraId="10F91C23">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中山市阜沙镇牛角初级中学</w:t>
            </w:r>
          </w:p>
        </w:tc>
      </w:tr>
      <w:tr w14:paraId="4812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05CA81D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港口镇</w:t>
            </w:r>
          </w:p>
        </w:tc>
        <w:tc>
          <w:tcPr>
            <w:tcW w:w="6271" w:type="dxa"/>
            <w:vAlign w:val="center"/>
          </w:tcPr>
          <w:p w14:paraId="3EE5DF9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中山市港口镇大南中学</w:t>
            </w:r>
          </w:p>
        </w:tc>
      </w:tr>
      <w:tr w14:paraId="6D1C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0DCB23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坦洲镇</w:t>
            </w:r>
          </w:p>
        </w:tc>
        <w:tc>
          <w:tcPr>
            <w:tcW w:w="6271" w:type="dxa"/>
            <w:vAlign w:val="center"/>
          </w:tcPr>
          <w:p w14:paraId="2D6DA303">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中山市坦洲镇林东小学</w:t>
            </w:r>
          </w:p>
        </w:tc>
      </w:tr>
      <w:tr w14:paraId="3C2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46D9F2C">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西区街道</w:t>
            </w:r>
          </w:p>
        </w:tc>
        <w:tc>
          <w:tcPr>
            <w:tcW w:w="6271" w:type="dxa"/>
            <w:vAlign w:val="center"/>
          </w:tcPr>
          <w:p w14:paraId="64F114E1">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中山市西区中心小学</w:t>
            </w:r>
          </w:p>
        </w:tc>
      </w:tr>
      <w:tr w14:paraId="118E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08DDA8B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三乡镇</w:t>
            </w:r>
          </w:p>
        </w:tc>
        <w:tc>
          <w:tcPr>
            <w:tcW w:w="6271" w:type="dxa"/>
            <w:vAlign w:val="center"/>
          </w:tcPr>
          <w:p w14:paraId="11DF609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中山市博爱初级中学</w:t>
            </w:r>
          </w:p>
        </w:tc>
      </w:tr>
      <w:tr w14:paraId="0D74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1E3E9F2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五桂山街道</w:t>
            </w:r>
          </w:p>
        </w:tc>
        <w:tc>
          <w:tcPr>
            <w:tcW w:w="6271" w:type="dxa"/>
            <w:vAlign w:val="center"/>
          </w:tcPr>
          <w:p w14:paraId="4AC6D45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中山市五桂山学校</w:t>
            </w:r>
          </w:p>
        </w:tc>
      </w:tr>
      <w:tr w14:paraId="0CA7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71B7956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三角镇</w:t>
            </w:r>
          </w:p>
        </w:tc>
        <w:tc>
          <w:tcPr>
            <w:tcW w:w="6271" w:type="dxa"/>
            <w:vAlign w:val="center"/>
          </w:tcPr>
          <w:p w14:paraId="21FD476A">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中山市迪茵学校</w:t>
            </w:r>
          </w:p>
        </w:tc>
      </w:tr>
      <w:tr w14:paraId="37A3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4DB03E1">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东区街道</w:t>
            </w:r>
          </w:p>
        </w:tc>
        <w:tc>
          <w:tcPr>
            <w:tcW w:w="6271" w:type="dxa"/>
            <w:vAlign w:val="center"/>
          </w:tcPr>
          <w:p w14:paraId="6F7C56C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中山市东区中学</w:t>
            </w:r>
          </w:p>
        </w:tc>
      </w:tr>
      <w:tr w14:paraId="2E30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49A9B3B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石岐街道</w:t>
            </w:r>
          </w:p>
        </w:tc>
        <w:tc>
          <w:tcPr>
            <w:tcW w:w="6271" w:type="dxa"/>
            <w:vAlign w:val="center"/>
          </w:tcPr>
          <w:p w14:paraId="1F4CBC0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中山市建勋中学</w:t>
            </w:r>
          </w:p>
        </w:tc>
      </w:tr>
      <w:tr w14:paraId="094A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7CE976A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沙溪镇</w:t>
            </w:r>
          </w:p>
        </w:tc>
        <w:tc>
          <w:tcPr>
            <w:tcW w:w="6271" w:type="dxa"/>
            <w:vAlign w:val="center"/>
          </w:tcPr>
          <w:p w14:paraId="66D85183">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中山市沙溪理工学校</w:t>
            </w:r>
          </w:p>
        </w:tc>
      </w:tr>
      <w:tr w14:paraId="68DF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4F452D0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4E76984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中山市小榄镇永宁中心幼儿园</w:t>
            </w:r>
          </w:p>
        </w:tc>
      </w:tr>
      <w:tr w14:paraId="597C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55A0CA35">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00F8ACC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中山火炬高技术产业开发区小隐幼儿园</w:t>
            </w:r>
          </w:p>
        </w:tc>
      </w:tr>
      <w:tr w14:paraId="1F69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7E21C934">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小榄镇</w:t>
            </w:r>
          </w:p>
        </w:tc>
        <w:tc>
          <w:tcPr>
            <w:tcW w:w="6271" w:type="dxa"/>
            <w:vAlign w:val="center"/>
          </w:tcPr>
          <w:p w14:paraId="183C1F3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中山市小榄镇菊城幼儿园</w:t>
            </w:r>
          </w:p>
        </w:tc>
      </w:tr>
      <w:tr w14:paraId="4192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177AF350">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19E6E19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中山市纪中三鑫凯茵幼儿园</w:t>
            </w:r>
          </w:p>
        </w:tc>
      </w:tr>
      <w:tr w14:paraId="025D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4F4E2FD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东凤镇</w:t>
            </w:r>
          </w:p>
        </w:tc>
        <w:tc>
          <w:tcPr>
            <w:tcW w:w="6271" w:type="dxa"/>
            <w:vAlign w:val="center"/>
          </w:tcPr>
          <w:p w14:paraId="1088CF5C">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中山市东凤镇中心幼儿园</w:t>
            </w:r>
          </w:p>
        </w:tc>
      </w:tr>
      <w:tr w14:paraId="4C93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3121746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古镇镇</w:t>
            </w:r>
          </w:p>
        </w:tc>
        <w:tc>
          <w:tcPr>
            <w:tcW w:w="6271" w:type="dxa"/>
            <w:vAlign w:val="center"/>
          </w:tcPr>
          <w:p w14:paraId="253BFC5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中山市古镇镇古三幼儿园</w:t>
            </w:r>
          </w:p>
        </w:tc>
      </w:tr>
      <w:tr w14:paraId="111E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06D3208B">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石岐街道</w:t>
            </w:r>
          </w:p>
        </w:tc>
        <w:tc>
          <w:tcPr>
            <w:tcW w:w="6271" w:type="dxa"/>
            <w:vAlign w:val="center"/>
          </w:tcPr>
          <w:p w14:paraId="40774B3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中山市厚兴黎桂添幼儿园</w:t>
            </w:r>
          </w:p>
        </w:tc>
      </w:tr>
      <w:tr w14:paraId="3C88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2135E726">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南区街道</w:t>
            </w:r>
          </w:p>
        </w:tc>
        <w:tc>
          <w:tcPr>
            <w:tcW w:w="6271" w:type="dxa"/>
            <w:vAlign w:val="center"/>
          </w:tcPr>
          <w:p w14:paraId="08020558">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中山市南区第一幼儿园</w:t>
            </w:r>
          </w:p>
        </w:tc>
      </w:tr>
      <w:tr w14:paraId="5E73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08" w:type="dxa"/>
            <w:vAlign w:val="center"/>
          </w:tcPr>
          <w:p w14:paraId="6B0DFDBE">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火炬开发区</w:t>
            </w:r>
          </w:p>
        </w:tc>
        <w:tc>
          <w:tcPr>
            <w:tcW w:w="6271" w:type="dxa"/>
            <w:vAlign w:val="center"/>
          </w:tcPr>
          <w:p w14:paraId="0DA16439">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中山火炬职业技术学院</w:t>
            </w:r>
          </w:p>
        </w:tc>
      </w:tr>
      <w:tr w14:paraId="0605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108" w:type="dxa"/>
            <w:vAlign w:val="center"/>
          </w:tcPr>
          <w:p w14:paraId="001BC917">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石岐街道</w:t>
            </w:r>
          </w:p>
        </w:tc>
        <w:tc>
          <w:tcPr>
            <w:tcW w:w="6271" w:type="dxa"/>
            <w:vAlign w:val="center"/>
          </w:tcPr>
          <w:p w14:paraId="1A783171">
            <w:pPr>
              <w:adjustRightInd w:val="0"/>
              <w:snapToGrid w:val="0"/>
              <w:jc w:val="center"/>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rPr>
              <w:t>电子科技大学中山学院</w:t>
            </w:r>
          </w:p>
        </w:tc>
      </w:tr>
    </w:tbl>
    <w:p w14:paraId="7875C1B5">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w:t>
      </w:r>
    </w:p>
    <w:p w14:paraId="2F124C05">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3、配送方式：配送方需采用专用的餐品配送车辆，车辆需定期清洁消毒，配备保温、保鲜设备，确保餐品在配送过程中温度适宜，无变质、异味情况。​</w:t>
      </w:r>
    </w:p>
    <w:p w14:paraId="17528178">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4、餐品交接：配送方到达指定地点后，需与我方指定接收人进行餐品交接，核对餐品数量、种类等信息，双方确认无误后签字确认，若发现餐品数量短缺、损坏或质量问题，配送方需及时补货或更换。</w:t>
      </w:r>
    </w:p>
    <w:p w14:paraId="17C6705C">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5、厨余垃圾的处置与运输：由配送方负责处置与运输采购方用餐后产生的厨余垃圾。</w:t>
      </w:r>
    </w:p>
    <w:p w14:paraId="1EC1C3BE">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（二）餐品需求​</w:t>
      </w:r>
    </w:p>
    <w:p w14:paraId="5097B6A4">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1、餐品质量与安全​</w:t>
      </w:r>
    </w:p>
    <w:p w14:paraId="5622962D">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（1）食材须新鲜、优质，禁止使用过期、变质食材，且能提供食材采购渠道证明（如供应商资质、采购凭证等），以便我方查验。​</w:t>
      </w:r>
    </w:p>
    <w:p w14:paraId="31A3A3F9">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（2）餐品制作需保证卫生，工作人员须持有效健康证上岗，制作环境需符合卫生要求。​</w:t>
      </w:r>
    </w:p>
    <w:p w14:paraId="1F0ACEA4">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2、餐品种类与口味​</w:t>
      </w:r>
    </w:p>
    <w:p w14:paraId="35C277DA">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（1）配送方需于每周五前将下周菜单提前发送至我方指定联系人。</w:t>
      </w:r>
    </w:p>
    <w:p w14:paraId="070F4508">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（2）每种套餐由主食米饭、两荤一素、汤/水果/酸奶组成。其中每份套餐中的肉类要不少于3两。</w:t>
      </w:r>
    </w:p>
    <w:p w14:paraId="088CF82F">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（3）每日提供多种套餐选择，套餐种类不少于[3]种，涵盖不同口味，满足员工多样化需求。</w:t>
      </w:r>
    </w:p>
    <w:p w14:paraId="3109970E">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3、餐品分量与包装​</w:t>
      </w:r>
    </w:p>
    <w:p w14:paraId="75D5C30D">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（1）餐品分量需充足，能满足正常员工的用餐需求，若员工普遍反映分量不足，我方有权要求配送方调整。​</w:t>
      </w:r>
    </w:p>
    <w:p w14:paraId="0D852219">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（2）餐品包装需环保、卫生、密封，能有效防止餐品洒漏、变质，且包装上需清晰标注餐品名称。</w:t>
      </w:r>
    </w:p>
    <w:p w14:paraId="63019718">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（三）服务需求​</w:t>
      </w:r>
    </w:p>
    <w:p w14:paraId="2A6CAC50">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1、沟通与反馈：配送方需指定专门的联系人（姓名：XXX，电话：XXX，邮箱：XXX），负责与我方对接日常配送事宜，及时响应我方的咨询、需求变更及投诉等。​</w:t>
      </w:r>
    </w:p>
    <w:p w14:paraId="0C8778DB">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2、应急处理：若因配送方原因（如餐品质量问题、配送延迟严重等）导致员工无法正常用餐，配送方需承担相应责任，并及时采取补救措施（如重新配送、提供替代餐品等）。​</w:t>
      </w:r>
    </w:p>
    <w:p w14:paraId="3189B685">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三、报价要求</w:t>
      </w:r>
    </w:p>
    <w:p w14:paraId="076DE878">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单价最高限价：成交金额包含了本项目可能涉及的一切费用，包括人员费用、交通配送费、打包费及所需的一切材料费、税费及合同履行过程中不可预见费用等，需方不再支付任何其他费用。最高限价详见下表，报价高于本项目单价最高上限价的为无效报价。</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9"/>
        <w:gridCol w:w="3400"/>
      </w:tblGrid>
      <w:tr w14:paraId="03E1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399" w:type="dxa"/>
            <w:vAlign w:val="center"/>
          </w:tcPr>
          <w:p w14:paraId="5A350F70">
            <w:pPr>
              <w:adjustRightInd w:val="0"/>
              <w:snapToGrid w:val="0"/>
              <w:jc w:val="center"/>
              <w:rPr>
                <w:rFonts w:hint="default" w:ascii="Times New Roman" w:hAnsi="Times New Roman" w:eastAsia="微软雅黑" w:cs="微软雅黑"/>
                <w:sz w:val="24"/>
                <w:szCs w:val="24"/>
                <w:lang w:val="en-US" w:eastAsia="zh-CN"/>
              </w:rPr>
            </w:pPr>
            <w:r>
              <w:rPr>
                <w:rFonts w:hint="eastAsia" w:eastAsia="微软雅黑" w:cs="微软雅黑"/>
                <w:sz w:val="24"/>
                <w:szCs w:val="24"/>
                <w:lang w:val="en-US" w:eastAsia="zh-CN"/>
              </w:rPr>
              <w:t>餐别</w:t>
            </w:r>
          </w:p>
        </w:tc>
        <w:tc>
          <w:tcPr>
            <w:tcW w:w="3400" w:type="dxa"/>
            <w:vAlign w:val="center"/>
          </w:tcPr>
          <w:p w14:paraId="4D0B86A2">
            <w:pPr>
              <w:adjustRightInd w:val="0"/>
              <w:snapToGrid w:val="0"/>
              <w:jc w:val="center"/>
              <w:rPr>
                <w:rFonts w:hint="default" w:ascii="Times New Roman" w:hAnsi="Times New Roman" w:eastAsia="微软雅黑" w:cs="微软雅黑"/>
                <w:sz w:val="24"/>
                <w:szCs w:val="24"/>
                <w:lang w:val="en-US" w:eastAsia="zh-CN"/>
              </w:rPr>
            </w:pPr>
            <w:r>
              <w:rPr>
                <w:rFonts w:hint="eastAsia" w:eastAsia="微软雅黑" w:cs="微软雅黑"/>
                <w:sz w:val="24"/>
                <w:szCs w:val="24"/>
                <w:lang w:val="en-US" w:eastAsia="zh-CN"/>
              </w:rPr>
              <w:t>单价限价（元）</w:t>
            </w:r>
          </w:p>
        </w:tc>
      </w:tr>
      <w:tr w14:paraId="15DE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399" w:type="dxa"/>
            <w:vAlign w:val="center"/>
          </w:tcPr>
          <w:p w14:paraId="0978C6CC">
            <w:pPr>
              <w:adjustRightInd w:val="0"/>
              <w:snapToGrid w:val="0"/>
              <w:jc w:val="center"/>
              <w:rPr>
                <w:rFonts w:hint="default" w:ascii="Times New Roman" w:hAnsi="Times New Roman" w:eastAsia="微软雅黑" w:cs="微软雅黑"/>
                <w:sz w:val="24"/>
                <w:szCs w:val="24"/>
                <w:lang w:val="en-US" w:eastAsia="zh-CN"/>
              </w:rPr>
            </w:pPr>
            <w:r>
              <w:rPr>
                <w:rFonts w:hint="eastAsia" w:eastAsia="微软雅黑" w:cs="微软雅黑"/>
                <w:sz w:val="24"/>
                <w:szCs w:val="24"/>
                <w:lang w:val="en-US" w:eastAsia="zh-CN"/>
              </w:rPr>
              <w:t>早餐</w:t>
            </w:r>
          </w:p>
        </w:tc>
        <w:tc>
          <w:tcPr>
            <w:tcW w:w="3400" w:type="dxa"/>
            <w:vAlign w:val="center"/>
          </w:tcPr>
          <w:p w14:paraId="2F3AAD08">
            <w:pPr>
              <w:adjustRightInd w:val="0"/>
              <w:snapToGrid w:val="0"/>
              <w:jc w:val="center"/>
              <w:rPr>
                <w:rFonts w:hint="default" w:ascii="Times New Roman" w:hAnsi="Times New Roman" w:eastAsia="微软雅黑" w:cs="微软雅黑"/>
                <w:sz w:val="24"/>
                <w:szCs w:val="24"/>
                <w:lang w:val="en-US" w:eastAsia="zh-CN"/>
              </w:rPr>
            </w:pPr>
            <w:r>
              <w:rPr>
                <w:rFonts w:hint="eastAsia" w:eastAsia="微软雅黑" w:cs="微软雅黑"/>
                <w:sz w:val="24"/>
                <w:szCs w:val="24"/>
                <w:lang w:val="en-US" w:eastAsia="zh-CN"/>
              </w:rPr>
              <w:t>7.00</w:t>
            </w:r>
          </w:p>
        </w:tc>
      </w:tr>
      <w:tr w14:paraId="69C4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3399" w:type="dxa"/>
            <w:vAlign w:val="center"/>
          </w:tcPr>
          <w:p w14:paraId="03EF91EF">
            <w:pPr>
              <w:adjustRightInd w:val="0"/>
              <w:snapToGrid w:val="0"/>
              <w:jc w:val="center"/>
              <w:rPr>
                <w:rFonts w:hint="default" w:ascii="Times New Roman" w:hAnsi="Times New Roman" w:eastAsia="微软雅黑" w:cs="微软雅黑"/>
                <w:sz w:val="24"/>
                <w:szCs w:val="24"/>
                <w:lang w:val="en-US" w:eastAsia="zh-CN"/>
              </w:rPr>
            </w:pPr>
            <w:r>
              <w:rPr>
                <w:rFonts w:hint="eastAsia" w:eastAsia="微软雅黑" w:cs="微软雅黑"/>
                <w:sz w:val="24"/>
                <w:szCs w:val="24"/>
                <w:lang w:val="en-US" w:eastAsia="zh-CN"/>
              </w:rPr>
              <w:t>午餐</w:t>
            </w:r>
          </w:p>
        </w:tc>
        <w:tc>
          <w:tcPr>
            <w:tcW w:w="3400" w:type="dxa"/>
            <w:vAlign w:val="center"/>
          </w:tcPr>
          <w:p w14:paraId="319C398B">
            <w:pPr>
              <w:adjustRightInd w:val="0"/>
              <w:snapToGrid w:val="0"/>
              <w:jc w:val="center"/>
              <w:rPr>
                <w:rFonts w:hint="default" w:ascii="Times New Roman" w:hAnsi="Times New Roman" w:eastAsia="微软雅黑" w:cs="微软雅黑"/>
                <w:sz w:val="24"/>
                <w:szCs w:val="24"/>
                <w:lang w:val="en-US" w:eastAsia="zh-CN"/>
              </w:rPr>
            </w:pPr>
            <w:r>
              <w:rPr>
                <w:rFonts w:hint="eastAsia" w:eastAsia="微软雅黑" w:cs="微软雅黑"/>
                <w:sz w:val="24"/>
                <w:szCs w:val="24"/>
                <w:lang w:val="en-US" w:eastAsia="zh-CN"/>
              </w:rPr>
              <w:t>40.00</w:t>
            </w:r>
          </w:p>
        </w:tc>
      </w:tr>
    </w:tbl>
    <w:p w14:paraId="02CBC070">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2、货币：人民币。</w:t>
      </w:r>
    </w:p>
    <w:p w14:paraId="549823BA">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四、付款方式</w:t>
      </w:r>
    </w:p>
    <w:p w14:paraId="04975D34">
      <w:pPr>
        <w:adjustRightInd w:val="0"/>
        <w:snapToGrid w:val="0"/>
        <w:jc w:val="left"/>
        <w:rPr>
          <w:rFonts w:hint="default"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1、款项支付</w:t>
      </w:r>
      <w:r>
        <w:rPr>
          <w:rFonts w:hint="default" w:ascii="Times New Roman" w:hAnsi="Times New Roman" w:eastAsia="微软雅黑" w:cs="微软雅黑"/>
          <w:sz w:val="24"/>
          <w:szCs w:val="24"/>
          <w:lang w:val="en-US" w:eastAsia="zh-CN"/>
        </w:rPr>
        <w:t>：</w:t>
      </w:r>
      <w:r>
        <w:rPr>
          <w:rFonts w:hint="eastAsia" w:ascii="Times New Roman" w:hAnsi="Times New Roman" w:eastAsia="微软雅黑" w:cs="微软雅黑"/>
          <w:sz w:val="24"/>
          <w:szCs w:val="24"/>
          <w:lang w:val="en-US" w:eastAsia="zh-CN"/>
        </w:rPr>
        <w:t>按实际结算</w:t>
      </w:r>
      <w:r>
        <w:rPr>
          <w:rFonts w:hint="default" w:ascii="Times New Roman" w:hAnsi="Times New Roman" w:eastAsia="微软雅黑" w:cs="微软雅黑"/>
          <w:sz w:val="24"/>
          <w:szCs w:val="24"/>
          <w:lang w:val="en-US" w:eastAsia="zh-CN"/>
        </w:rPr>
        <w:t>，采购人收到成交供应商提交的申请款项支付资料之后</w:t>
      </w:r>
      <w:r>
        <w:rPr>
          <w:rFonts w:hint="eastAsia" w:ascii="Times New Roman" w:hAnsi="Times New Roman" w:eastAsia="微软雅黑" w:cs="微软雅黑"/>
          <w:sz w:val="24"/>
          <w:szCs w:val="24"/>
          <w:lang w:val="en-US" w:eastAsia="zh-CN"/>
        </w:rPr>
        <w:t>30</w:t>
      </w:r>
      <w:r>
        <w:rPr>
          <w:rFonts w:hint="default" w:ascii="Times New Roman" w:hAnsi="Times New Roman" w:eastAsia="微软雅黑" w:cs="微软雅黑"/>
          <w:sz w:val="24"/>
          <w:szCs w:val="24"/>
          <w:lang w:val="en-US" w:eastAsia="zh-CN"/>
        </w:rPr>
        <w:t>个工作日内，采购人</w:t>
      </w:r>
      <w:r>
        <w:rPr>
          <w:rFonts w:hint="eastAsia" w:ascii="Times New Roman" w:hAnsi="Times New Roman" w:eastAsia="微软雅黑" w:cs="微软雅黑"/>
          <w:sz w:val="24"/>
          <w:szCs w:val="24"/>
          <w:lang w:val="en-US" w:eastAsia="zh-CN"/>
        </w:rPr>
        <w:t>按实际产生费用与</w:t>
      </w:r>
      <w:r>
        <w:rPr>
          <w:rFonts w:hint="default" w:ascii="Times New Roman" w:hAnsi="Times New Roman" w:eastAsia="微软雅黑" w:cs="微软雅黑"/>
          <w:sz w:val="24"/>
          <w:szCs w:val="24"/>
          <w:lang w:val="en-US" w:eastAsia="zh-CN"/>
        </w:rPr>
        <w:t>成交供应商</w:t>
      </w:r>
      <w:r>
        <w:rPr>
          <w:rFonts w:hint="eastAsia" w:ascii="Times New Roman" w:hAnsi="Times New Roman" w:eastAsia="微软雅黑" w:cs="微软雅黑"/>
          <w:sz w:val="24"/>
          <w:szCs w:val="24"/>
          <w:lang w:val="en-US" w:eastAsia="zh-CN"/>
        </w:rPr>
        <w:t>结算</w:t>
      </w:r>
      <w:r>
        <w:rPr>
          <w:rFonts w:hint="default" w:ascii="Times New Roman" w:hAnsi="Times New Roman" w:eastAsia="微软雅黑" w:cs="微软雅黑"/>
          <w:sz w:val="24"/>
          <w:szCs w:val="24"/>
          <w:lang w:val="en-US" w:eastAsia="zh-CN"/>
        </w:rPr>
        <w:t>。</w:t>
      </w:r>
    </w:p>
    <w:p w14:paraId="6C19C1E2">
      <w:pPr>
        <w:adjustRightInd w:val="0"/>
        <w:snapToGrid w:val="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val="en-US" w:eastAsia="zh-CN"/>
        </w:rPr>
        <w:t>2</w:t>
      </w:r>
      <w:r>
        <w:rPr>
          <w:rFonts w:hint="default" w:ascii="Times New Roman" w:hAnsi="Times New Roman" w:eastAsia="微软雅黑" w:cs="微软雅黑"/>
          <w:sz w:val="24"/>
          <w:szCs w:val="24"/>
          <w:lang w:val="en-US" w:eastAsia="zh-CN"/>
        </w:rPr>
        <w:t>、</w:t>
      </w:r>
      <w:r>
        <w:rPr>
          <w:rFonts w:hint="eastAsia" w:ascii="Times New Roman" w:hAnsi="Times New Roman" w:eastAsia="微软雅黑" w:cs="微软雅黑"/>
          <w:sz w:val="24"/>
          <w:szCs w:val="24"/>
        </w:rPr>
        <w:t>本合同的款项以人民币通过银行转账方式结算，</w:t>
      </w:r>
      <w:r>
        <w:rPr>
          <w:rFonts w:hint="eastAsia" w:ascii="Times New Roman" w:hAnsi="Times New Roman" w:eastAsia="微软雅黑" w:cs="微软雅黑"/>
          <w:sz w:val="24"/>
          <w:szCs w:val="24"/>
          <w:lang w:eastAsia="zh-CN"/>
        </w:rPr>
        <w:t>成交供应商</w:t>
      </w:r>
      <w:r>
        <w:rPr>
          <w:rFonts w:hint="eastAsia" w:ascii="Times New Roman" w:hAnsi="Times New Roman" w:eastAsia="微软雅黑" w:cs="微软雅黑"/>
          <w:sz w:val="24"/>
          <w:szCs w:val="24"/>
        </w:rPr>
        <w:t>凭以下资料申请款项支付：</w:t>
      </w:r>
    </w:p>
    <w:p w14:paraId="2C0678F9">
      <w:pPr>
        <w:adjustRightInd w:val="0"/>
        <w:snapToGrid w:val="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val="en-US" w:eastAsia="zh-CN"/>
        </w:rPr>
        <w:t>1）</w:t>
      </w:r>
      <w:r>
        <w:rPr>
          <w:rFonts w:hint="eastAsia" w:ascii="Times New Roman" w:hAnsi="Times New Roman" w:eastAsia="微软雅黑" w:cs="微软雅黑"/>
          <w:sz w:val="24"/>
          <w:szCs w:val="24"/>
        </w:rPr>
        <w:t>合同复印件；</w:t>
      </w:r>
    </w:p>
    <w:p w14:paraId="4BA94024">
      <w:pPr>
        <w:adjustRightInd w:val="0"/>
        <w:snapToGrid w:val="0"/>
        <w:jc w:val="left"/>
        <w:rPr>
          <w:rFonts w:hint="eastAsia" w:ascii="Times New Roman" w:hAnsi="Times New Roman" w:eastAsia="微软雅黑" w:cs="微软雅黑"/>
          <w:sz w:val="24"/>
          <w:szCs w:val="24"/>
        </w:rPr>
      </w:pPr>
      <w:r>
        <w:rPr>
          <w:rFonts w:hint="eastAsia" w:ascii="Times New Roman" w:hAnsi="Times New Roman" w:eastAsia="微软雅黑" w:cs="微软雅黑"/>
          <w:sz w:val="24"/>
          <w:szCs w:val="24"/>
          <w:lang w:val="en-US" w:eastAsia="zh-CN"/>
        </w:rPr>
        <w:t>2）</w:t>
      </w:r>
      <w:r>
        <w:rPr>
          <w:rFonts w:hint="eastAsia" w:ascii="Times New Roman" w:hAnsi="Times New Roman" w:eastAsia="微软雅黑" w:cs="微软雅黑"/>
          <w:sz w:val="24"/>
          <w:szCs w:val="24"/>
          <w:lang w:eastAsia="zh-CN"/>
        </w:rPr>
        <w:t>成交供应商</w:t>
      </w:r>
      <w:r>
        <w:rPr>
          <w:rFonts w:hint="eastAsia" w:ascii="Times New Roman" w:hAnsi="Times New Roman" w:eastAsia="微软雅黑" w:cs="微软雅黑"/>
          <w:sz w:val="24"/>
          <w:szCs w:val="24"/>
        </w:rPr>
        <w:t>开具对应款项的正规全额发票；</w:t>
      </w:r>
    </w:p>
    <w:p w14:paraId="42DD9CAD">
      <w:pPr>
        <w:adjustRightInd w:val="0"/>
        <w:snapToGrid w:val="0"/>
        <w:jc w:val="left"/>
        <w:rPr>
          <w:rFonts w:hint="default" w:ascii="Times New Roman" w:hAnsi="Times New Roman" w:eastAsia="微软雅黑" w:cs="微软雅黑"/>
          <w:sz w:val="24"/>
          <w:szCs w:val="24"/>
          <w:lang w:val="en-US"/>
        </w:rPr>
      </w:pPr>
      <w:r>
        <w:rPr>
          <w:rFonts w:hint="eastAsia" w:ascii="Times New Roman" w:hAnsi="Times New Roman" w:eastAsia="微软雅黑" w:cs="微软雅黑"/>
          <w:sz w:val="24"/>
          <w:szCs w:val="24"/>
          <w:lang w:val="en-US" w:eastAsia="zh-CN"/>
        </w:rPr>
        <w:t>3）结算清单</w:t>
      </w:r>
      <w:r>
        <w:rPr>
          <w:rFonts w:hint="eastAsia" w:ascii="Times New Roman" w:hAnsi="Times New Roman" w:eastAsia="微软雅黑" w:cs="微软雅黑"/>
          <w:sz w:val="24"/>
          <w:szCs w:val="24"/>
        </w:rPr>
        <w:t>。</w:t>
      </w:r>
    </w:p>
    <w:p w14:paraId="0A811FC7">
      <w:pPr>
        <w:adjustRightInd w:val="0"/>
        <w:snapToGrid w:val="0"/>
        <w:jc w:val="left"/>
        <w:rPr>
          <w:rFonts w:hint="eastAsia" w:ascii="Times New Roman" w:hAnsi="Times New Roman" w:eastAsia="微软雅黑" w:cs="微软雅黑"/>
          <w:sz w:val="24"/>
          <w:szCs w:val="24"/>
          <w:lang w:val="en-US" w:eastAsia="zh-CN"/>
        </w:rPr>
      </w:pPr>
      <w:r>
        <w:rPr>
          <w:rFonts w:hint="eastAsia" w:ascii="Times New Roman" w:hAnsi="Times New Roman" w:eastAsia="微软雅黑" w:cs="微软雅黑"/>
          <w:sz w:val="24"/>
          <w:szCs w:val="24"/>
          <w:lang w:val="en-US" w:eastAsia="zh-CN"/>
        </w:rPr>
        <w:t>3</w:t>
      </w:r>
      <w:r>
        <w:rPr>
          <w:rFonts w:hint="default" w:ascii="Times New Roman" w:hAnsi="Times New Roman" w:eastAsia="微软雅黑" w:cs="微软雅黑"/>
          <w:sz w:val="24"/>
          <w:szCs w:val="24"/>
          <w:lang w:val="en-US" w:eastAsia="zh-CN"/>
        </w:rPr>
        <w:t>、</w:t>
      </w:r>
      <w:r>
        <w:rPr>
          <w:rFonts w:hint="eastAsia" w:ascii="Times New Roman" w:hAnsi="Times New Roman" w:eastAsia="微软雅黑" w:cs="微软雅黑"/>
          <w:sz w:val="24"/>
          <w:szCs w:val="24"/>
        </w:rPr>
        <w:t>因采购人使用资金需要经过财务审批程序，采购人在前款规定的付款时间为向财务部门提出办理支付申请手续的时间（不含账务部门、支付部门审核的时间），在规定时间内提出支付申请手续后即视为采购人已经按期支付。</w:t>
      </w:r>
    </w:p>
    <w:p w14:paraId="13FF139B">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630B3D"/>
    <w:rsid w:val="7B724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ind w:left="100" w:leftChars="200" w:hanging="200" w:hangingChars="200"/>
    </w:pPr>
  </w:style>
  <w:style w:type="paragraph" w:styleId="3">
    <w:name w:val="Title"/>
    <w:basedOn w:val="2"/>
    <w:next w:val="1"/>
    <w:qFormat/>
    <w:uiPriority w:val="0"/>
    <w:pPr>
      <w:spacing w:before="240" w:after="60"/>
      <w:jc w:val="center"/>
      <w:outlineLvl w:val="0"/>
    </w:pPr>
    <w:rPr>
      <w:rFonts w:ascii="Arial" w:hAnsi="Arial"/>
      <w:b/>
      <w:bCs/>
      <w:kern w:val="0"/>
      <w:sz w:val="32"/>
      <w:szCs w:val="32"/>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1846</Words>
  <Characters>1880</Characters>
  <Lines>0</Lines>
  <Paragraphs>0</Paragraphs>
  <TotalTime>29</TotalTime>
  <ScaleCrop>false</ScaleCrop>
  <LinksUpToDate>false</LinksUpToDate>
  <CharactersWithSpaces>1880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2026-08-19T06:27:00Z</dcterms:created>
  <dc:creator>chis</dc:creator>
  <cp:lastModifiedBy>chis</cp:lastModifiedBy>
  <dcterms:modified xsi:type="dcterms:W3CDTF">2026-08-19T07:06:44Z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eyJoZGlkIjoiN2M1YWNmZTFiMDBlYjdkNDJjOTA0ZjFkNDA2N2FmZWUiLCJ1c2VySWQiOiI2NDkzNjEyODAifQ==</vt:lpwstr>
  </property>
  <property fmtid="{D5CDD505-2E9C-101B-9397-08002B2CF9AE}" pid="4" name="ICV">
    <vt:lpwstr>31A7B53F4D454114A99525F3F73778CF_12</vt:lpwstr>
  </property>
</Properties>
</file>