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E5FD8">
      <w:pPr>
        <w:jc w:val="center"/>
        <w:rPr>
          <w:rFonts w:hint="eastAsia" w:ascii="方正公文小标宋" w:hAnsi="方正公文小标宋" w:eastAsia="方正公文小标宋" w:cs="方正公文小标宋"/>
          <w:b w:val="0"/>
          <w:bCs w:val="0"/>
          <w:sz w:val="44"/>
          <w:szCs w:val="52"/>
          <w:lang w:val="en-US" w:eastAsia="zh-CN"/>
        </w:rPr>
      </w:pPr>
      <w:r>
        <w:rPr>
          <w:rFonts w:hint="eastAsia" w:ascii="方正公文小标宋" w:hAnsi="方正公文小标宋" w:eastAsia="方正公文小标宋" w:cs="方正公文小标宋"/>
          <w:b w:val="0"/>
          <w:bCs w:val="0"/>
          <w:sz w:val="44"/>
          <w:szCs w:val="52"/>
          <w:lang w:val="en-US" w:eastAsia="zh-CN"/>
        </w:rPr>
        <w:t>调研需求书</w:t>
      </w:r>
    </w:p>
    <w:p w14:paraId="6D20E403">
      <w:pPr>
        <w:jc w:val="center"/>
        <w:rPr>
          <w:rFonts w:hint="eastAsia" w:ascii="方正公文小标宋" w:hAnsi="方正公文小标宋" w:eastAsia="方正公文小标宋" w:cs="方正公文小标宋"/>
          <w:b/>
          <w:bCs/>
          <w:sz w:val="36"/>
          <w:szCs w:val="44"/>
          <w:lang w:val="en-US" w:eastAsia="zh-CN"/>
        </w:rPr>
      </w:pPr>
    </w:p>
    <w:p w14:paraId="5B2FFE75">
      <w:pPr>
        <w:numPr>
          <w:ilvl w:val="0"/>
          <w:numId w:val="1"/>
        </w:numPr>
        <w:jc w:val="both"/>
        <w:rPr>
          <w:rFonts w:hint="eastAsia" w:ascii="仿宋" w:hAnsi="仿宋" w:eastAsia="仿宋" w:cs="仿宋"/>
          <w:b/>
          <w:bCs/>
          <w:sz w:val="24"/>
          <w:szCs w:val="32"/>
          <w:lang w:val="en-US" w:eastAsia="zh-CN"/>
        </w:rPr>
      </w:pPr>
      <w:r>
        <w:rPr>
          <w:rFonts w:hint="eastAsia" w:ascii="仿宋" w:hAnsi="仿宋" w:eastAsia="仿宋" w:cs="仿宋"/>
          <w:b/>
          <w:bCs/>
          <w:sz w:val="24"/>
          <w:szCs w:val="32"/>
          <w:lang w:val="en-US" w:eastAsia="zh-CN"/>
        </w:rPr>
        <w:t>本调研项目需求一览表：</w:t>
      </w:r>
    </w:p>
    <w:tbl>
      <w:tblPr>
        <w:tblStyle w:val="7"/>
        <w:tblW w:w="88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8"/>
        <w:gridCol w:w="1800"/>
        <w:gridCol w:w="1163"/>
        <w:gridCol w:w="2250"/>
        <w:gridCol w:w="2466"/>
      </w:tblGrid>
      <w:tr w14:paraId="70CEC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1198" w:type="dxa"/>
            <w:vAlign w:val="center"/>
          </w:tcPr>
          <w:p w14:paraId="55ED32CC">
            <w:pPr>
              <w:pStyle w:val="6"/>
              <w:spacing w:before="242" w:line="221" w:lineRule="auto"/>
              <w:jc w:val="center"/>
              <w:rPr>
                <w:rFonts w:hint="eastAsia" w:ascii="仿宋" w:hAnsi="仿宋" w:eastAsia="仿宋" w:cs="仿宋"/>
              </w:rPr>
            </w:pPr>
            <w:r>
              <w:rPr>
                <w:rFonts w:hint="eastAsia" w:ascii="仿宋" w:hAnsi="仿宋" w:eastAsia="仿宋" w:cs="仿宋"/>
                <w:b/>
                <w:bCs/>
                <w:spacing w:val="-6"/>
              </w:rPr>
              <w:t>用户单位</w:t>
            </w:r>
          </w:p>
        </w:tc>
        <w:tc>
          <w:tcPr>
            <w:tcW w:w="1800" w:type="dxa"/>
            <w:vAlign w:val="center"/>
          </w:tcPr>
          <w:p w14:paraId="2D144376">
            <w:pPr>
              <w:pStyle w:val="6"/>
              <w:spacing w:before="242" w:line="221" w:lineRule="auto"/>
              <w:jc w:val="center"/>
              <w:rPr>
                <w:rFonts w:hint="eastAsia" w:ascii="仿宋" w:hAnsi="仿宋" w:eastAsia="仿宋" w:cs="仿宋"/>
              </w:rPr>
            </w:pPr>
            <w:r>
              <w:rPr>
                <w:rFonts w:hint="eastAsia" w:cs="仿宋"/>
                <w:b/>
                <w:bCs/>
                <w:spacing w:val="-7"/>
                <w:lang w:val="en-US" w:eastAsia="zh-CN"/>
              </w:rPr>
              <w:t>项目</w:t>
            </w:r>
            <w:r>
              <w:rPr>
                <w:rFonts w:hint="eastAsia" w:ascii="仿宋" w:hAnsi="仿宋" w:eastAsia="仿宋" w:cs="仿宋"/>
                <w:b/>
                <w:bCs/>
                <w:spacing w:val="-7"/>
              </w:rPr>
              <w:t>名称</w:t>
            </w:r>
          </w:p>
        </w:tc>
        <w:tc>
          <w:tcPr>
            <w:tcW w:w="1163" w:type="dxa"/>
            <w:vAlign w:val="center"/>
          </w:tcPr>
          <w:p w14:paraId="3EE8410B">
            <w:pPr>
              <w:pStyle w:val="6"/>
              <w:spacing w:before="61" w:line="251" w:lineRule="auto"/>
              <w:ind w:right="135"/>
              <w:jc w:val="center"/>
              <w:rPr>
                <w:rFonts w:hint="eastAsia" w:ascii="仿宋" w:hAnsi="仿宋" w:eastAsia="仿宋" w:cs="仿宋"/>
              </w:rPr>
            </w:pPr>
            <w:r>
              <w:rPr>
                <w:rFonts w:hint="eastAsia" w:ascii="仿宋" w:hAnsi="仿宋" w:eastAsia="仿宋" w:cs="仿宋"/>
                <w:b/>
                <w:bCs/>
                <w:spacing w:val="-11"/>
              </w:rPr>
              <w:t>数量</w:t>
            </w:r>
            <w:r>
              <w:rPr>
                <w:rFonts w:hint="eastAsia" w:ascii="仿宋" w:hAnsi="仿宋" w:eastAsia="仿宋" w:cs="仿宋"/>
                <w:b/>
                <w:bCs/>
                <w:spacing w:val="-16"/>
              </w:rPr>
              <w:t>（份）</w:t>
            </w:r>
          </w:p>
        </w:tc>
        <w:tc>
          <w:tcPr>
            <w:tcW w:w="2250" w:type="dxa"/>
            <w:vAlign w:val="center"/>
          </w:tcPr>
          <w:p w14:paraId="787E3E50">
            <w:pPr>
              <w:pStyle w:val="6"/>
              <w:spacing w:before="61" w:line="251" w:lineRule="auto"/>
              <w:ind w:left="360" w:leftChars="0" w:right="222" w:rightChars="0" w:hanging="118" w:firstLineChars="0"/>
              <w:jc w:val="center"/>
              <w:rPr>
                <w:rFonts w:hint="eastAsia" w:ascii="仿宋" w:hAnsi="仿宋" w:eastAsia="仿宋" w:cs="仿宋"/>
              </w:rPr>
            </w:pPr>
            <w:r>
              <w:rPr>
                <w:rFonts w:hint="eastAsia" w:cs="仿宋"/>
                <w:b/>
                <w:bCs/>
                <w:spacing w:val="-8"/>
                <w:lang w:eastAsia="zh-CN"/>
              </w:rPr>
              <w:t>结算单价</w:t>
            </w:r>
          </w:p>
        </w:tc>
        <w:tc>
          <w:tcPr>
            <w:tcW w:w="2466" w:type="dxa"/>
            <w:vAlign w:val="center"/>
          </w:tcPr>
          <w:p w14:paraId="6B28D194">
            <w:pPr>
              <w:pStyle w:val="6"/>
              <w:spacing w:before="61" w:line="251" w:lineRule="auto"/>
              <w:ind w:left="0" w:leftChars="0" w:right="222" w:rightChars="0" w:firstLine="0" w:firstLineChars="0"/>
              <w:jc w:val="center"/>
              <w:rPr>
                <w:rFonts w:hint="eastAsia" w:ascii="仿宋" w:hAnsi="仿宋" w:eastAsia="仿宋" w:cs="仿宋"/>
              </w:rPr>
            </w:pPr>
            <w:r>
              <w:rPr>
                <w:rFonts w:hint="eastAsia" w:cs="仿宋"/>
                <w:b/>
                <w:bCs/>
                <w:spacing w:val="-8"/>
                <w:lang w:eastAsia="zh-CN"/>
              </w:rPr>
              <w:t>产品价值</w:t>
            </w:r>
          </w:p>
        </w:tc>
      </w:tr>
      <w:tr w14:paraId="543C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3" w:hRule="atLeast"/>
        </w:trPr>
        <w:tc>
          <w:tcPr>
            <w:tcW w:w="1198" w:type="dxa"/>
            <w:vAlign w:val="center"/>
          </w:tcPr>
          <w:p w14:paraId="305FA670">
            <w:pPr>
              <w:pStyle w:val="6"/>
              <w:spacing w:before="241" w:line="265" w:lineRule="auto"/>
              <w:ind w:left="127" w:right="106" w:firstLine="23"/>
              <w:jc w:val="center"/>
              <w:rPr>
                <w:rFonts w:hint="eastAsia" w:ascii="仿宋" w:hAnsi="仿宋" w:eastAsia="仿宋" w:cs="仿宋"/>
              </w:rPr>
            </w:pPr>
            <w:r>
              <w:rPr>
                <w:rFonts w:hint="eastAsia" w:ascii="仿宋" w:hAnsi="仿宋" w:eastAsia="仿宋" w:cs="仿宋"/>
                <w:spacing w:val="2"/>
              </w:rPr>
              <w:t>中山市</w:t>
            </w:r>
            <w:r>
              <w:rPr>
                <w:rFonts w:hint="eastAsia" w:ascii="仿宋" w:hAnsi="仿宋" w:eastAsia="仿宋" w:cs="仿宋"/>
                <w:spacing w:val="2"/>
                <w:lang w:val="en-US" w:eastAsia="zh-CN"/>
              </w:rPr>
              <w:t>口腔</w:t>
            </w:r>
            <w:r>
              <w:rPr>
                <w:rFonts w:hint="eastAsia" w:ascii="仿宋" w:hAnsi="仿宋" w:eastAsia="仿宋" w:cs="仿宋"/>
                <w:spacing w:val="2"/>
              </w:rPr>
              <w:t>医院</w:t>
            </w:r>
          </w:p>
        </w:tc>
        <w:tc>
          <w:tcPr>
            <w:tcW w:w="1800" w:type="dxa"/>
            <w:vAlign w:val="center"/>
          </w:tcPr>
          <w:p w14:paraId="7E761EC1">
            <w:pPr>
              <w:pStyle w:val="6"/>
              <w:spacing w:before="63" w:line="259" w:lineRule="auto"/>
              <w:ind w:left="119" w:right="106" w:firstLine="31"/>
              <w:jc w:val="center"/>
              <w:rPr>
                <w:rFonts w:hint="eastAsia" w:ascii="仿宋" w:hAnsi="仿宋" w:eastAsia="仿宋" w:cs="仿宋"/>
              </w:rPr>
            </w:pPr>
            <w:r>
              <w:rPr>
                <w:rFonts w:hint="eastAsia" w:ascii="仿宋" w:hAnsi="仿宋" w:eastAsia="仿宋" w:cs="仿宋"/>
                <w:spacing w:val="13"/>
              </w:rPr>
              <w:t>中山市</w:t>
            </w:r>
            <w:r>
              <w:rPr>
                <w:rFonts w:hint="eastAsia" w:ascii="仿宋" w:hAnsi="仿宋" w:eastAsia="仿宋" w:cs="仿宋"/>
                <w:spacing w:val="13"/>
                <w:lang w:val="en-US" w:eastAsia="zh-CN"/>
              </w:rPr>
              <w:t>口腔</w:t>
            </w:r>
            <w:r>
              <w:rPr>
                <w:rFonts w:hint="eastAsia" w:ascii="仿宋" w:hAnsi="仿宋" w:eastAsia="仿宋" w:cs="仿宋"/>
                <w:spacing w:val="13"/>
              </w:rPr>
              <w:t>医院</w:t>
            </w:r>
            <w:r>
              <w:rPr>
                <w:rFonts w:hint="eastAsia" w:cs="仿宋"/>
                <w:spacing w:val="13"/>
                <w:lang w:eastAsia="zh-CN"/>
              </w:rPr>
              <w:t>2026年</w:t>
            </w:r>
            <w:r>
              <w:rPr>
                <w:rFonts w:hint="eastAsia" w:cs="仿宋"/>
                <w:spacing w:val="16"/>
                <w:lang w:val="en-US" w:eastAsia="zh-CN"/>
              </w:rPr>
              <w:t>中秋</w:t>
            </w:r>
            <w:r>
              <w:rPr>
                <w:rFonts w:hint="eastAsia" w:ascii="仿宋" w:hAnsi="仿宋" w:eastAsia="仿宋" w:cs="仿宋"/>
                <w:spacing w:val="16"/>
                <w:lang w:val="en-US" w:eastAsia="zh-CN"/>
              </w:rPr>
              <w:t>节</w:t>
            </w:r>
            <w:r>
              <w:rPr>
                <w:rFonts w:hint="eastAsia" w:ascii="仿宋" w:hAnsi="仿宋" w:eastAsia="仿宋" w:cs="仿宋"/>
                <w:spacing w:val="16"/>
              </w:rPr>
              <w:t>慰问品采购</w:t>
            </w:r>
            <w:r>
              <w:rPr>
                <w:rFonts w:hint="eastAsia" w:ascii="仿宋" w:hAnsi="仿宋" w:eastAsia="仿宋" w:cs="仿宋"/>
                <w:spacing w:val="-4"/>
              </w:rPr>
              <w:t>项目</w:t>
            </w:r>
          </w:p>
        </w:tc>
        <w:tc>
          <w:tcPr>
            <w:tcW w:w="1163" w:type="dxa"/>
            <w:vAlign w:val="center"/>
          </w:tcPr>
          <w:p w14:paraId="0DFEF279">
            <w:pPr>
              <w:pStyle w:val="6"/>
              <w:spacing w:before="78" w:line="181" w:lineRule="auto"/>
              <w:jc w:val="center"/>
              <w:rPr>
                <w:rFonts w:hint="default" w:ascii="仿宋" w:hAnsi="仿宋" w:eastAsia="仿宋" w:cs="仿宋"/>
                <w:lang w:val="en-US" w:eastAsia="zh-CN"/>
              </w:rPr>
            </w:pPr>
            <w:r>
              <w:rPr>
                <w:rFonts w:hint="eastAsia" w:cs="仿宋"/>
                <w:lang w:val="en-US" w:eastAsia="zh-CN"/>
              </w:rPr>
              <w:t>约</w:t>
            </w:r>
            <w:r>
              <w:rPr>
                <w:rFonts w:hint="eastAsia" w:ascii="仿宋" w:hAnsi="仿宋" w:eastAsia="仿宋" w:cs="仿宋"/>
                <w:lang w:val="en-US" w:eastAsia="zh-CN"/>
              </w:rPr>
              <w:t>2</w:t>
            </w:r>
            <w:r>
              <w:rPr>
                <w:rFonts w:hint="eastAsia" w:cs="仿宋"/>
                <w:lang w:val="en-US" w:eastAsia="zh-CN"/>
              </w:rPr>
              <w:t>65</w:t>
            </w:r>
          </w:p>
        </w:tc>
        <w:tc>
          <w:tcPr>
            <w:tcW w:w="2250" w:type="dxa"/>
            <w:vAlign w:val="center"/>
          </w:tcPr>
          <w:p w14:paraId="69500D29">
            <w:pPr>
              <w:jc w:val="center"/>
              <w:rPr>
                <w:rFonts w:hint="eastAsia" w:ascii="仿宋" w:hAnsi="仿宋" w:eastAsia="仿宋" w:cs="仿宋"/>
              </w:rPr>
            </w:pPr>
            <w:r>
              <w:rPr>
                <w:rFonts w:hint="eastAsia" w:ascii="仿宋" w:hAnsi="仿宋" w:eastAsia="仿宋" w:cs="仿宋"/>
                <w:sz w:val="21"/>
                <w:lang w:eastAsia="zh-CN"/>
              </w:rPr>
              <w:t>“固定套餐”结算单价均为</w:t>
            </w:r>
            <w:r>
              <w:rPr>
                <w:rFonts w:hint="eastAsia" w:ascii="仿宋" w:hAnsi="仿宋" w:eastAsia="仿宋" w:cs="仿宋"/>
                <w:sz w:val="21"/>
                <w:lang w:val="en-US" w:eastAsia="zh-CN"/>
              </w:rPr>
              <w:t>600元/份。</w:t>
            </w:r>
          </w:p>
        </w:tc>
        <w:tc>
          <w:tcPr>
            <w:tcW w:w="2466" w:type="dxa"/>
            <w:vAlign w:val="center"/>
          </w:tcPr>
          <w:p w14:paraId="78F7BBB5">
            <w:pPr>
              <w:pStyle w:val="6"/>
              <w:numPr>
                <w:ilvl w:val="0"/>
                <w:numId w:val="0"/>
              </w:numPr>
              <w:spacing w:before="78" w:line="180" w:lineRule="auto"/>
              <w:jc w:val="center"/>
              <w:rPr>
                <w:rFonts w:hint="eastAsia" w:ascii="仿宋" w:hAnsi="仿宋" w:eastAsia="仿宋" w:cs="仿宋"/>
              </w:rPr>
            </w:pPr>
            <w:r>
              <w:rPr>
                <w:rFonts w:hint="eastAsia" w:ascii="仿宋" w:hAnsi="仿宋" w:eastAsia="仿宋" w:cs="仿宋"/>
                <w:sz w:val="21"/>
                <w:lang w:eastAsia="zh-CN"/>
              </w:rPr>
              <w:t>固定套餐</w:t>
            </w:r>
            <w:r>
              <w:rPr>
                <w:rFonts w:hint="eastAsia" w:cs="仿宋"/>
                <w:sz w:val="21"/>
                <w:lang w:eastAsia="zh-CN"/>
              </w:rPr>
              <w:t>总价值</w:t>
            </w:r>
            <w:r>
              <w:rPr>
                <w:rFonts w:hint="eastAsia" w:ascii="仿宋" w:hAnsi="仿宋" w:eastAsia="仿宋" w:cs="仿宋"/>
                <w:b w:val="0"/>
                <w:bCs w:val="0"/>
                <w:sz w:val="21"/>
                <w:szCs w:val="24"/>
                <w:lang w:val="en-US" w:eastAsia="zh-CN"/>
              </w:rPr>
              <w:t>≥</w:t>
            </w:r>
            <w:r>
              <w:rPr>
                <w:rFonts w:hint="eastAsia" w:cs="仿宋"/>
                <w:b w:val="0"/>
                <w:bCs w:val="0"/>
                <w:sz w:val="21"/>
                <w:szCs w:val="24"/>
                <w:lang w:val="en-US" w:eastAsia="zh-CN"/>
              </w:rPr>
              <w:t>600</w:t>
            </w:r>
            <w:r>
              <w:rPr>
                <w:rFonts w:hint="eastAsia" w:ascii="仿宋" w:hAnsi="仿宋" w:eastAsia="仿宋" w:cs="仿宋"/>
                <w:b w:val="0"/>
                <w:bCs w:val="0"/>
                <w:sz w:val="21"/>
                <w:szCs w:val="24"/>
                <w:lang w:val="en-US" w:eastAsia="zh-CN"/>
              </w:rPr>
              <w:t>元/份</w:t>
            </w:r>
            <w:r>
              <w:rPr>
                <w:rFonts w:hint="eastAsia" w:cs="仿宋"/>
                <w:b w:val="0"/>
                <w:bCs w:val="0"/>
                <w:sz w:val="21"/>
                <w:szCs w:val="24"/>
                <w:lang w:val="en-US" w:eastAsia="zh-CN"/>
              </w:rPr>
              <w:t>。</w:t>
            </w:r>
          </w:p>
        </w:tc>
      </w:tr>
    </w:tbl>
    <w:p w14:paraId="372DC2B3">
      <w:pPr>
        <w:numPr>
          <w:ilvl w:val="0"/>
          <w:numId w:val="0"/>
        </w:numPr>
        <w:jc w:val="both"/>
        <w:rPr>
          <w:rFonts w:hint="eastAsia"/>
          <w:b/>
          <w:bCs/>
          <w:sz w:val="24"/>
          <w:szCs w:val="32"/>
          <w:lang w:val="en-US" w:eastAsia="zh-CN"/>
        </w:rPr>
      </w:pPr>
    </w:p>
    <w:p w14:paraId="027F83B5">
      <w:pPr>
        <w:numPr>
          <w:ilvl w:val="0"/>
          <w:numId w:val="0"/>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1、供应商应对此次调研需要的货物及服务提供市场调研资料（包括但不限于：套装内容、服务方案、售后服务、报价、备货周期时长、供货时长、配送范围及方式等），不接受只对产品进行报价。</w:t>
      </w:r>
    </w:p>
    <w:p w14:paraId="73837CBD">
      <w:pPr>
        <w:numPr>
          <w:ilvl w:val="0"/>
          <w:numId w:val="0"/>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2、报价要求：供应商报价时应充分考虑货物的供应、包装、运输、售后服务、人员投入费用、税费等，综合考虑自身的成本提供最优方案。</w:t>
      </w:r>
    </w:p>
    <w:p w14:paraId="463512E5">
      <w:pPr>
        <w:numPr>
          <w:ilvl w:val="0"/>
          <w:numId w:val="0"/>
        </w:numPr>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3、参与调研供应商需按本需求的附件1“</w:t>
      </w:r>
      <w:r>
        <w:rPr>
          <w:rFonts w:hint="eastAsia" w:ascii="仿宋" w:hAnsi="仿宋" w:eastAsia="仿宋" w:cs="仿宋"/>
          <w:b w:val="0"/>
          <w:bCs w:val="0"/>
          <w:i w:val="0"/>
          <w:iCs w:val="0"/>
          <w:color w:val="auto"/>
          <w:kern w:val="2"/>
          <w:sz w:val="28"/>
          <w:szCs w:val="28"/>
          <w:u w:val="none"/>
          <w:lang w:val="en-US" w:eastAsia="zh-CN" w:bidi="ar"/>
        </w:rPr>
        <w:t>中山市口腔医院需求调研资料”的内容提供报价方案4个或以上（表1）</w:t>
      </w:r>
      <w:bookmarkStart w:id="0" w:name="_GoBack"/>
      <w:bookmarkEnd w:id="0"/>
      <w:r>
        <w:rPr>
          <w:rFonts w:hint="eastAsia" w:ascii="仿宋" w:hAnsi="仿宋" w:eastAsia="仿宋" w:cs="仿宋"/>
          <w:b w:val="0"/>
          <w:bCs w:val="0"/>
          <w:sz w:val="28"/>
          <w:szCs w:val="28"/>
          <w:lang w:val="en-US" w:eastAsia="zh-CN"/>
        </w:rPr>
        <w:t>。</w:t>
      </w:r>
    </w:p>
    <w:p w14:paraId="3A39CFD2">
      <w:pPr>
        <w:numPr>
          <w:ilvl w:val="0"/>
          <w:numId w:val="0"/>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4、供应商须具有有效的工商营业执照、食品经营许可证。</w:t>
      </w:r>
    </w:p>
    <w:p w14:paraId="3D45C83B">
      <w:pPr>
        <w:numPr>
          <w:ilvl w:val="0"/>
          <w:numId w:val="0"/>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5、在调研文件中标注“★”标识的内容条款被视为重要的响应要求、技术指标要求。供应商必须对此作全面响应和满足。</w:t>
      </w:r>
    </w:p>
    <w:p w14:paraId="11A7953E">
      <w:pPr>
        <w:numPr>
          <w:ilvl w:val="0"/>
          <w:numId w:val="0"/>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二、项目概况：</w:t>
      </w:r>
    </w:p>
    <w:p w14:paraId="7F9BE48F">
      <w:pPr>
        <w:numPr>
          <w:ilvl w:val="0"/>
          <w:numId w:val="0"/>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中山市口腔医院现拟采购2026年中秋节慰问品一批（价格包括但不限于标的的货款、税费、分装、运送（如快递、物流派送到家）、简要技术需求或服务要求等一切费用。）采购数量约252份。</w:t>
      </w:r>
    </w:p>
    <w:p w14:paraId="3F9A57F6">
      <w:pPr>
        <w:numPr>
          <w:ilvl w:val="0"/>
          <w:numId w:val="0"/>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★第一条慰问品要求：</w:t>
      </w:r>
    </w:p>
    <w:p w14:paraId="0421B4F1">
      <w:pPr>
        <w:numPr>
          <w:ilvl w:val="0"/>
          <w:numId w:val="2"/>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原则上为健康绿色食品和生活用品、月饼、应季水果等产品。</w:t>
      </w:r>
    </w:p>
    <w:p w14:paraId="3E31DAA3">
      <w:pPr>
        <w:numPr>
          <w:ilvl w:val="0"/>
          <w:numId w:val="2"/>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i w:val="0"/>
          <w:iCs w:val="0"/>
          <w:color w:val="auto"/>
          <w:kern w:val="2"/>
          <w:sz w:val="28"/>
          <w:szCs w:val="28"/>
          <w:u w:val="none"/>
          <w:lang w:val="en-US" w:eastAsia="zh-CN" w:bidi="ar"/>
        </w:rPr>
        <w:t>提供的报价方案4个或以上中需满足：①</w:t>
      </w:r>
      <w:r>
        <w:rPr>
          <w:rFonts w:hint="eastAsia" w:ascii="仿宋" w:hAnsi="仿宋" w:eastAsia="仿宋" w:cs="仿宋"/>
          <w:b w:val="0"/>
          <w:bCs w:val="0"/>
          <w:sz w:val="28"/>
          <w:szCs w:val="28"/>
          <w:lang w:val="en-US" w:eastAsia="zh-CN"/>
        </w:rPr>
        <w:t>含月饼的套餐2个及以上；②不含月饼的套餐2个及以上。</w:t>
      </w:r>
    </w:p>
    <w:p w14:paraId="2284AAE2">
      <w:pPr>
        <w:numPr>
          <w:ilvl w:val="0"/>
          <w:numId w:val="0"/>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3、质量要求：成交供应商配送的货物必须与报价产品一致，并且提供的货物在满足采购人的需求前提下必须符合国家质量安全标准和食品卫生标准，其中食品剩余保质期应不少于质保期总量的三分之二。</w:t>
      </w:r>
    </w:p>
    <w:p w14:paraId="18034F74">
      <w:pPr>
        <w:numPr>
          <w:ilvl w:val="0"/>
          <w:numId w:val="0"/>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4、套餐商品用物流箱打包，以方便转运。</w:t>
      </w:r>
    </w:p>
    <w:p w14:paraId="1B5F0A0B">
      <w:pPr>
        <w:numPr>
          <w:ilvl w:val="0"/>
          <w:numId w:val="0"/>
        </w:numPr>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5、供货时间要求：具体以采购方通知时间为准。</w:t>
      </w:r>
    </w:p>
    <w:p w14:paraId="6867E70A">
      <w:pPr>
        <w:numPr>
          <w:ilvl w:val="0"/>
          <w:numId w:val="0"/>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★第二条潜在供应商的义务</w:t>
      </w:r>
    </w:p>
    <w:p w14:paraId="54B03A40">
      <w:pPr>
        <w:numPr>
          <w:ilvl w:val="0"/>
          <w:numId w:val="0"/>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1、供应商须提供快递物流等配送方式送至中山市口腔医院职工指定范围（可通过链接指定位置送达）；</w:t>
      </w:r>
    </w:p>
    <w:p w14:paraId="73EE93F6">
      <w:pPr>
        <w:numPr>
          <w:ilvl w:val="0"/>
          <w:numId w:val="0"/>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2、供应商必须承诺提供的产品为合法销售、渠道正规、全新正品，符合国家有关质量标准。如出现严重质量问题或产品制造商推诿服务质量责任时，供应商须承担最终责任并提供质量和服务保障。</w:t>
      </w:r>
    </w:p>
    <w:p w14:paraId="41F6C7F0">
      <w:pPr>
        <w:numPr>
          <w:ilvl w:val="0"/>
          <w:numId w:val="0"/>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3、供应商应及时响应采购方提出的合理要求和建议，采购方在使用过程中发现质量问题，供应商应在收到采购人通知后24小时内给予更换，若就货物质量产生分歧纠纷，可委托专业公司或有资质的机构进行委托检测，检测费用由成交供应商支付，调研人有权追究其法律责任。</w:t>
      </w:r>
    </w:p>
    <w:p w14:paraId="1755FDC3">
      <w:pPr>
        <w:numPr>
          <w:ilvl w:val="0"/>
          <w:numId w:val="0"/>
        </w:num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4、如遇水灾，火灾等自然灾害导致供货延迟等不可抗拒因素，导致合同内产品不能按期交货，必须在三天内书面和电话告知采购方，在得到同意后，明确提出解决方案和交货时间。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2E7E52"/>
    <w:multiLevelType w:val="singleLevel"/>
    <w:tmpl w:val="332E7E52"/>
    <w:lvl w:ilvl="0" w:tentative="0">
      <w:start w:val="1"/>
      <w:numFmt w:val="decimal"/>
      <w:suff w:val="nothing"/>
      <w:lvlText w:val="%1、"/>
      <w:lvlJc w:val="left"/>
    </w:lvl>
  </w:abstractNum>
  <w:abstractNum w:abstractNumId="1">
    <w:nsid w:val="74616CE2"/>
    <w:multiLevelType w:val="singleLevel"/>
    <w:tmpl w:val="74616CE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8190E"/>
    <w:rsid w:val="0DA44E20"/>
    <w:rsid w:val="10FC28A0"/>
    <w:rsid w:val="1A403577"/>
    <w:rsid w:val="269D567F"/>
    <w:rsid w:val="39D737AF"/>
    <w:rsid w:val="3A464DB0"/>
    <w:rsid w:val="43B46820"/>
    <w:rsid w:val="44421D37"/>
    <w:rsid w:val="480175E9"/>
    <w:rsid w:val="495E78D4"/>
    <w:rsid w:val="5963617B"/>
    <w:rsid w:val="6378730A"/>
    <w:rsid w:val="6F09495A"/>
    <w:rsid w:val="71FF0690"/>
    <w:rsid w:val="78006D2C"/>
    <w:rsid w:val="7E5D2D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大标题"/>
    <w:basedOn w:val="1"/>
    <w:qFormat/>
    <w:uiPriority w:val="0"/>
    <w:pPr>
      <w:spacing w:before="187"/>
      <w:jc w:val="center"/>
    </w:pPr>
    <w:rPr>
      <w:rFonts w:hint="eastAsia" w:ascii="方正小标宋简体" w:hAnsi="方正小标宋简体" w:eastAsia="方正小标宋简体" w:cs="方正小标宋简体"/>
      <w:b/>
      <w:sz w:val="44"/>
      <w:szCs w:val="44"/>
      <w:lang w:val="zh-CN" w:bidi="zh-CN"/>
    </w:rPr>
  </w:style>
  <w:style w:type="paragraph" w:customStyle="1" w:styleId="6">
    <w:name w:val="Table Text"/>
    <w:basedOn w:val="1"/>
    <w:semiHidden/>
    <w:qFormat/>
    <w:uiPriority w:val="0"/>
    <w:rPr>
      <w:rFonts w:ascii="仿宋" w:hAnsi="仿宋" w:eastAsia="仿宋" w:cs="仿宋"/>
      <w:sz w:val="24"/>
      <w:szCs w:val="24"/>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 w:type="character" w:customStyle="1" w:styleId="8">
    <w:name w:val="font31"/>
    <w:basedOn w:val="4"/>
    <w:qFormat/>
    <w:uiPriority w:val="0"/>
    <w:rPr>
      <w:rFonts w:hint="eastAsia" w:ascii="等线" w:hAnsi="等线" w:eastAsia="等线" w:cs="等线"/>
      <w:b/>
      <w:bCs/>
      <w:color w:val="000000"/>
      <w:sz w:val="40"/>
      <w:szCs w:val="40"/>
      <w:u w:val="none"/>
    </w:rPr>
  </w:style>
  <w:style w:type="character" w:customStyle="1" w:styleId="9">
    <w:name w:val="font41"/>
    <w:basedOn w:val="4"/>
    <w:qFormat/>
    <w:uiPriority w:val="0"/>
    <w:rPr>
      <w:rFonts w:hint="eastAsia" w:ascii="宋体" w:hAnsi="宋体" w:eastAsia="宋体" w:cs="宋体"/>
      <w:b/>
      <w:bCs/>
      <w:color w:val="000000"/>
      <w:sz w:val="32"/>
      <w:szCs w:val="32"/>
      <w:u w:val="none"/>
    </w:rPr>
  </w:style>
  <w:style w:type="character" w:customStyle="1" w:styleId="10">
    <w:name w:val="font51"/>
    <w:basedOn w:val="4"/>
    <w:qFormat/>
    <w:uiPriority w:val="0"/>
    <w:rPr>
      <w:rFonts w:hint="eastAsia" w:ascii="仿宋" w:hAnsi="仿宋" w:eastAsia="仿宋" w:cs="仿宋"/>
      <w:b/>
      <w:bCs/>
      <w:color w:val="000000"/>
      <w:sz w:val="30"/>
      <w:szCs w:val="30"/>
      <w:u w:val="none"/>
    </w:rPr>
  </w:style>
  <w:style w:type="character" w:customStyle="1" w:styleId="11">
    <w:name w:val="font61"/>
    <w:basedOn w:val="4"/>
    <w:qFormat/>
    <w:uiPriority w:val="0"/>
    <w:rPr>
      <w:rFonts w:hint="eastAsia" w:ascii="微软雅黑" w:hAnsi="微软雅黑" w:eastAsia="微软雅黑" w:cs="微软雅黑"/>
      <w:color w:val="000000"/>
      <w:sz w:val="22"/>
      <w:szCs w:val="22"/>
      <w:u w:val="none"/>
    </w:rPr>
  </w:style>
  <w:style w:type="character" w:customStyle="1" w:styleId="12">
    <w:name w:val="font71"/>
    <w:basedOn w:val="4"/>
    <w:qFormat/>
    <w:uiPriority w:val="0"/>
    <w:rPr>
      <w:rFonts w:hint="eastAsia" w:ascii="仿宋" w:hAnsi="仿宋" w:eastAsia="仿宋" w:cs="仿宋"/>
      <w:color w:val="000000"/>
      <w:sz w:val="28"/>
      <w:szCs w:val="28"/>
      <w:u w:val="none"/>
    </w:rPr>
  </w:style>
  <w:style w:type="character" w:customStyle="1" w:styleId="13">
    <w:name w:val="font81"/>
    <w:basedOn w:val="4"/>
    <w:qFormat/>
    <w:uiPriority w:val="0"/>
    <w:rPr>
      <w:rFonts w:hint="default" w:ascii="Arial" w:hAnsi="Arial" w:cs="Arial"/>
      <w:color w:val="000000"/>
      <w:sz w:val="19"/>
      <w:szCs w:val="19"/>
      <w:u w:val="none"/>
    </w:rPr>
  </w:style>
  <w:style w:type="character" w:customStyle="1" w:styleId="14">
    <w:name w:val="font91"/>
    <w:basedOn w:val="4"/>
    <w:qFormat/>
    <w:uiPriority w:val="0"/>
    <w:rPr>
      <w:rFonts w:ascii="宋体" w:hAnsi="宋体" w:eastAsia="宋体" w:cs="宋体"/>
      <w:color w:val="000000"/>
      <w:sz w:val="28"/>
      <w:szCs w:val="28"/>
      <w:u w:val="none"/>
    </w:rPr>
  </w:style>
  <w:style w:type="character" w:customStyle="1" w:styleId="15">
    <w:name w:val="font101"/>
    <w:basedOn w:val="4"/>
    <w:qFormat/>
    <w:uiPriority w:val="0"/>
    <w:rPr>
      <w:rFonts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1279</Words>
  <Characters>1297</Characters>
  <Lines>0</Lines>
  <Paragraphs>0</Paragraphs>
  <TotalTime>2</TotalTime>
  <ScaleCrop>false</ScaleCrop>
  <LinksUpToDate>false</LinksUpToDate>
  <CharactersWithSpaces>1303</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2024-01-05T09:45:00Z</dcterms:created>
  <dc:creator>123</dc:creator>
  <cp:lastModifiedBy>吴佳南</cp:lastModifiedBy>
  <dcterms:modified xsi:type="dcterms:W3CDTF">2026-08-07T08:54:15Z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FA36F680D6914B438E2EBE68F27B25B4_13</vt:lpwstr>
  </property>
  <property fmtid="{D5CDD505-2E9C-101B-9397-08002B2CF9AE}" pid="4" name="KSOTemplateDocerSaveRecord">
    <vt:lpwstr>eyJoZGlkIjoiMTAyNmQ1YTU5MWJlYWQzMjEzNTU2N2M4MmU1NmRiODIiLCJ1c2VySWQiOiIxNzg0MDA4MjE0In0=</vt:lpwstr>
  </property>
</Properties>
</file>