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8542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rPr>
      </w:pPr>
      <w:r>
        <w:rPr>
          <w:rFonts w:hint="eastAsia" w:ascii="微软雅黑" w:hAnsi="微软雅黑" w:eastAsia="微软雅黑" w:cs="微软雅黑"/>
          <w:i w:val="0"/>
          <w:iCs w:val="0"/>
          <w:caps w:val="0"/>
          <w:color w:val="2B2B2B"/>
          <w:spacing w:val="0"/>
          <w:sz w:val="24"/>
          <w:szCs w:val="24"/>
          <w:shd w:val="clear" w:fill="FFFFFF"/>
        </w:rPr>
        <w:t>附件1</w:t>
      </w:r>
    </w:p>
    <w:p w14:paraId="5A2AB87B">
      <w:pPr>
        <w:spacing w:line="480" w:lineRule="exact"/>
        <w:jc w:val="center"/>
        <w:rPr>
          <w:rFonts w:hint="eastAsia" w:ascii="微软雅黑" w:hAnsi="微软雅黑" w:eastAsia="微软雅黑" w:cs="微软雅黑"/>
          <w:b/>
          <w:color w:val="auto"/>
          <w:sz w:val="28"/>
          <w:szCs w:val="28"/>
          <w:lang w:val="en-US" w:eastAsia="zh-CN"/>
        </w:rPr>
      </w:pPr>
      <w:r>
        <w:rPr>
          <w:rFonts w:hint="eastAsia" w:ascii="微软雅黑" w:hAnsi="微软雅黑" w:eastAsia="微软雅黑" w:cs="微软雅黑"/>
          <w:b/>
          <w:color w:val="auto"/>
          <w:sz w:val="28"/>
          <w:szCs w:val="28"/>
          <w:lang w:val="en-US" w:eastAsia="zh-CN"/>
        </w:rPr>
        <w:t>项目需求书</w:t>
      </w:r>
    </w:p>
    <w:p w14:paraId="275D203D">
      <w:pPr>
        <w:pStyle w:val="19"/>
        <w:widowControl/>
        <w:numPr>
          <w:ilvl w:val="0"/>
          <w:numId w:val="0"/>
        </w:numPr>
        <w:spacing w:line="360" w:lineRule="auto"/>
        <w:ind w:left="720" w:leftChars="0" w:hanging="720" w:firstLineChars="0"/>
        <w:jc w:val="left"/>
        <w:rPr>
          <w:rFonts w:hint="eastAsia" w:ascii="微软雅黑" w:hAnsi="微软雅黑" w:eastAsia="微软雅黑" w:cs="微软雅黑"/>
          <w:b/>
          <w:bCs w:val="0"/>
          <w:color w:val="auto"/>
          <w:kern w:val="2"/>
          <w:sz w:val="24"/>
          <w:szCs w:val="24"/>
          <w:lang w:val="en-US" w:eastAsia="zh-CN" w:bidi="ar-SA"/>
        </w:rPr>
      </w:pPr>
      <w:r>
        <w:rPr>
          <w:rFonts w:hint="default" w:ascii="微软雅黑" w:hAnsi="微软雅黑" w:eastAsia="微软雅黑" w:cs="微软雅黑"/>
          <w:b/>
          <w:bCs w:val="0"/>
          <w:color w:val="auto"/>
          <w:kern w:val="2"/>
          <w:sz w:val="24"/>
          <w:szCs w:val="24"/>
          <w:lang w:val="en-US" w:eastAsia="zh-CN" w:bidi="ar-SA"/>
        </w:rPr>
        <w:t>一、</w:t>
      </w:r>
      <w:r>
        <w:rPr>
          <w:rFonts w:hint="eastAsia" w:ascii="微软雅黑" w:hAnsi="微软雅黑" w:eastAsia="微软雅黑" w:cs="微软雅黑"/>
          <w:b/>
          <w:bCs w:val="0"/>
          <w:color w:val="auto"/>
          <w:kern w:val="2"/>
          <w:sz w:val="24"/>
          <w:szCs w:val="24"/>
          <w:lang w:val="en-US" w:eastAsia="zh-CN" w:bidi="ar-SA"/>
        </w:rPr>
        <w:t>项目基本情况</w:t>
      </w:r>
    </w:p>
    <w:tbl>
      <w:tblPr>
        <w:tblStyle w:val="14"/>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0"/>
        <w:gridCol w:w="5723"/>
      </w:tblGrid>
      <w:tr w14:paraId="02A8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230" w:type="dxa"/>
          </w:tcPr>
          <w:p w14:paraId="66EAFF37">
            <w:pPr>
              <w:spacing w:line="360" w:lineRule="auto"/>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项目名称</w:t>
            </w:r>
          </w:p>
        </w:tc>
        <w:tc>
          <w:tcPr>
            <w:tcW w:w="5723" w:type="dxa"/>
          </w:tcPr>
          <w:p w14:paraId="006DFF07">
            <w:pPr>
              <w:spacing w:line="360" w:lineRule="auto"/>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中山市口腔医院2026年第三季度办公家具采购项目</w:t>
            </w:r>
          </w:p>
        </w:tc>
      </w:tr>
      <w:tr w14:paraId="3799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230" w:type="dxa"/>
          </w:tcPr>
          <w:p w14:paraId="44ECE8B7">
            <w:pPr>
              <w:spacing w:line="360" w:lineRule="auto"/>
              <w:jc w:val="cente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采购预算金额</w:t>
            </w:r>
          </w:p>
        </w:tc>
        <w:tc>
          <w:tcPr>
            <w:tcW w:w="5723" w:type="dxa"/>
          </w:tcPr>
          <w:p w14:paraId="4D49B931">
            <w:pPr>
              <w:spacing w:line="360" w:lineRule="auto"/>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13360元</w:t>
            </w:r>
          </w:p>
        </w:tc>
      </w:tr>
      <w:tr w14:paraId="5F4F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230" w:type="dxa"/>
          </w:tcPr>
          <w:p w14:paraId="3BFC5E92">
            <w:pPr>
              <w:spacing w:line="360" w:lineRule="auto"/>
              <w:jc w:val="cente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报价最高限价</w:t>
            </w:r>
          </w:p>
        </w:tc>
        <w:tc>
          <w:tcPr>
            <w:tcW w:w="5723" w:type="dxa"/>
          </w:tcPr>
          <w:p w14:paraId="7DC1F74F">
            <w:pPr>
              <w:spacing w:line="360" w:lineRule="auto"/>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13360元</w:t>
            </w:r>
          </w:p>
        </w:tc>
      </w:tr>
      <w:tr w14:paraId="21E5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953" w:type="dxa"/>
            <w:gridSpan w:val="2"/>
          </w:tcPr>
          <w:p w14:paraId="7B24291C">
            <w:pPr>
              <w:spacing w:line="360" w:lineRule="auto"/>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FF0000"/>
                <w:sz w:val="24"/>
                <w:szCs w:val="24"/>
                <w:lang w:val="en-US" w:eastAsia="zh-CN"/>
              </w:rPr>
              <w:t>供应商报价不得超过“报价最高限价”，否则视为无效报价。</w:t>
            </w:r>
          </w:p>
        </w:tc>
      </w:tr>
    </w:tbl>
    <w:p w14:paraId="2A81CF6C">
      <w:pPr>
        <w:pStyle w:val="1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二、</w:t>
      </w:r>
      <w:r>
        <w:rPr>
          <w:rFonts w:hint="eastAsia" w:ascii="微软雅黑" w:hAnsi="微软雅黑" w:eastAsia="微软雅黑" w:cs="微软雅黑"/>
          <w:b/>
          <w:bCs w:val="0"/>
          <w:color w:val="auto"/>
          <w:kern w:val="2"/>
          <w:sz w:val="24"/>
          <w:szCs w:val="24"/>
          <w:lang w:val="en-US" w:eastAsia="zh-CN" w:bidi="ar-SA"/>
        </w:rPr>
        <w:t>采购清单：详见附件3：中山市口腔医院2026年第三季度办公家具采购清单</w:t>
      </w:r>
    </w:p>
    <w:p w14:paraId="27814B6A">
      <w:pPr>
        <w:pStyle w:val="19"/>
        <w:widowControl/>
        <w:numPr>
          <w:ilvl w:val="0"/>
          <w:numId w:val="0"/>
        </w:numPr>
        <w:spacing w:line="360" w:lineRule="auto"/>
        <w:ind w:left="720" w:leftChars="0" w:hanging="720" w:firstLineChars="0"/>
        <w:jc w:val="left"/>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三、项目要求</w:t>
      </w:r>
    </w:p>
    <w:p w14:paraId="5E75AA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Theme="minorEastAsia" w:cstheme="minorBidi"/>
          <w:sz w:val="21"/>
          <w:highlight w:val="none"/>
          <w:lang w:val="en-US" w:eastAsia="zh-CN"/>
        </w:rPr>
      </w:pPr>
      <w:r>
        <w:rPr>
          <w:rFonts w:hint="eastAsia" w:asciiTheme="minorEastAsia" w:hAnsiTheme="minorEastAsia" w:eastAsiaTheme="minorEastAsia"/>
          <w:lang w:val="en-US" w:eastAsia="zh-CN"/>
        </w:rPr>
        <w:t>1.</w:t>
      </w:r>
      <w:r>
        <w:rPr>
          <w:rFonts w:hint="eastAsia" w:ascii="Times New Roman" w:hAnsi="Times New Roman" w:eastAsiaTheme="minorEastAsia" w:cstheme="minorBidi"/>
          <w:sz w:val="21"/>
          <w:highlight w:val="none"/>
          <w:lang w:val="en-US" w:eastAsia="zh-CN"/>
        </w:rPr>
        <w:t>采</w:t>
      </w:r>
      <w:r>
        <w:rPr>
          <w:rFonts w:hint="eastAsia" w:cs="Times New Roman" w:asciiTheme="minorEastAsia" w:hAnsiTheme="minorEastAsia" w:eastAsiaTheme="minorEastAsia"/>
          <w:lang w:val="en-US" w:eastAsia="zh-CN"/>
        </w:rPr>
        <w:t>购清单中列明的物品数量为中山市口腔医院2026年第三季度家具采购预估量，采购人将根据医院实际情况进行调整，并按</w:t>
      </w:r>
      <w:bookmarkStart w:id="1" w:name="_GoBack"/>
      <w:bookmarkEnd w:id="1"/>
      <w:r>
        <w:rPr>
          <w:rFonts w:hint="eastAsia" w:cs="Times New Roman" w:asciiTheme="minorEastAsia" w:hAnsiTheme="minorEastAsia" w:eastAsiaTheme="minorEastAsia"/>
          <w:lang w:val="en-US" w:eastAsia="zh-CN"/>
        </w:rPr>
        <w:t>第三季度实际需求量结算。</w:t>
      </w:r>
    </w:p>
    <w:p w14:paraId="65EFE024">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2.合同签订后，供应商须安装专人与采购人各使用科室对接，现场测量核对采购数量，经采购人确认后方能安排生产。</w:t>
      </w:r>
    </w:p>
    <w:p w14:paraId="58F5073F">
      <w:pPr>
        <w:widowControl/>
        <w:tabs>
          <w:tab w:val="center" w:pos="4363"/>
        </w:tabs>
        <w:spacing w:line="360" w:lineRule="auto"/>
        <w:ind w:firstLine="480" w:firstLineChars="200"/>
        <w:jc w:val="left"/>
        <w:rPr>
          <w:rFonts w:hint="eastAsia" w:asciiTheme="minorEastAsia" w:hAnsiTheme="minorEastAsia" w:eastAsiaTheme="minorEastAsia"/>
        </w:rPr>
      </w:pPr>
      <w:r>
        <w:rPr>
          <w:rFonts w:hint="eastAsia" w:asciiTheme="minorEastAsia" w:hAnsiTheme="minorEastAsia" w:eastAsiaTheme="minorEastAsia"/>
          <w:lang w:val="en-US" w:eastAsia="zh-CN"/>
        </w:rPr>
        <w:t>3.供应商提供的货物颜色</w:t>
      </w:r>
      <w:r>
        <w:rPr>
          <w:rFonts w:hint="eastAsia" w:asciiTheme="minorEastAsia" w:hAnsiTheme="minorEastAsia" w:eastAsiaTheme="minorEastAsia"/>
          <w:lang w:eastAsia="zh-CN"/>
        </w:rPr>
        <w:t>、</w:t>
      </w:r>
      <w:r>
        <w:rPr>
          <w:rFonts w:hint="eastAsia" w:asciiTheme="minorEastAsia" w:hAnsiTheme="minorEastAsia" w:eastAsiaTheme="minorEastAsia"/>
        </w:rPr>
        <w:t>纹理</w:t>
      </w:r>
      <w:r>
        <w:rPr>
          <w:rFonts w:hint="eastAsia" w:asciiTheme="minorEastAsia" w:hAnsiTheme="minorEastAsia" w:eastAsiaTheme="minorEastAsia"/>
          <w:lang w:eastAsia="zh-CN"/>
        </w:rPr>
        <w:t>具有多样性可供选择，具体</w:t>
      </w:r>
      <w:r>
        <w:rPr>
          <w:rFonts w:hint="eastAsia" w:asciiTheme="minorEastAsia" w:hAnsiTheme="minorEastAsia" w:eastAsiaTheme="minorEastAsia"/>
        </w:rPr>
        <w:t>根据现场实际情况搭配</w:t>
      </w:r>
      <w:r>
        <w:rPr>
          <w:rFonts w:hint="eastAsia" w:asciiTheme="minorEastAsia" w:hAnsiTheme="minorEastAsia" w:eastAsiaTheme="minorEastAsia"/>
          <w:lang w:eastAsia="zh-CN"/>
        </w:rPr>
        <w:t>。</w:t>
      </w:r>
    </w:p>
    <w:p w14:paraId="183B42E3">
      <w:pPr>
        <w:widowControl/>
        <w:tabs>
          <w:tab w:val="center" w:pos="4363"/>
        </w:tabs>
        <w:spacing w:line="360" w:lineRule="auto"/>
        <w:ind w:firstLine="480" w:firstLineChars="200"/>
        <w:jc w:val="left"/>
        <w:rPr>
          <w:rFonts w:hint="eastAsia" w:asciiTheme="minorEastAsia" w:hAnsiTheme="minorEastAsia" w:eastAsiaTheme="minorEastAsia"/>
        </w:rPr>
      </w:pPr>
      <w:r>
        <w:rPr>
          <w:rFonts w:hint="eastAsia" w:asciiTheme="minorEastAsia" w:hAnsiTheme="minorEastAsia" w:eastAsiaTheme="minorEastAsia"/>
          <w:lang w:val="en-US" w:eastAsia="zh-CN"/>
        </w:rPr>
        <w:t>4.</w:t>
      </w:r>
      <w:r>
        <w:rPr>
          <w:rFonts w:hint="eastAsia" w:asciiTheme="minorEastAsia" w:hAnsiTheme="minorEastAsia" w:eastAsiaTheme="minorEastAsia"/>
          <w:lang w:eastAsia="zh-CN"/>
        </w:rPr>
        <w:t>供应商</w:t>
      </w:r>
      <w:r>
        <w:rPr>
          <w:rFonts w:hint="eastAsia" w:asciiTheme="minorEastAsia" w:hAnsiTheme="minorEastAsia" w:eastAsiaTheme="minorEastAsia"/>
        </w:rPr>
        <w:t>必须充分考虑现场安装难度及安全性，安装过程中如果对现场物品或结构造成损坏的，必须恢复原样，如不能修复的需照价赔偿。</w:t>
      </w:r>
    </w:p>
    <w:p w14:paraId="3A33622D">
      <w:pPr>
        <w:widowControl/>
        <w:tabs>
          <w:tab w:val="center" w:pos="4363"/>
        </w:tabs>
        <w:spacing w:line="360" w:lineRule="auto"/>
        <w:ind w:firstLine="480" w:firstLineChars="200"/>
        <w:jc w:val="left"/>
        <w:rPr>
          <w:rFonts w:hint="eastAsia" w:asciiTheme="minorEastAsia" w:hAnsiTheme="minorEastAsia" w:eastAsiaTheme="minorEastAsia"/>
        </w:rPr>
      </w:pPr>
      <w:r>
        <w:rPr>
          <w:rFonts w:hint="eastAsia" w:asciiTheme="minorEastAsia" w:hAnsiTheme="minorEastAsia" w:eastAsiaTheme="minorEastAsia"/>
          <w:lang w:val="en-US" w:eastAsia="zh-CN"/>
        </w:rPr>
        <w:t>5.</w:t>
      </w:r>
      <w:r>
        <w:rPr>
          <w:rFonts w:hint="eastAsia" w:asciiTheme="minorEastAsia" w:hAnsiTheme="minorEastAsia" w:eastAsiaTheme="minorEastAsia"/>
          <w:lang w:eastAsia="zh-CN"/>
        </w:rPr>
        <w:t>供应商</w:t>
      </w:r>
      <w:r>
        <w:rPr>
          <w:rFonts w:hint="eastAsia" w:asciiTheme="minorEastAsia" w:hAnsiTheme="minorEastAsia" w:eastAsiaTheme="minorEastAsia"/>
        </w:rPr>
        <w:t>需根据项目的人员安排、进度计划、总体规划等角度提供完整合理的项目整体实施方案，能按照项目分解节点并可跟踪实施。</w:t>
      </w:r>
    </w:p>
    <w:p w14:paraId="1FB513C7">
      <w:pPr>
        <w:widowControl/>
        <w:tabs>
          <w:tab w:val="center" w:pos="4363"/>
        </w:tabs>
        <w:spacing w:line="360" w:lineRule="auto"/>
        <w:ind w:firstLine="480" w:firstLineChars="200"/>
        <w:jc w:val="left"/>
        <w:rPr>
          <w:rFonts w:hint="eastAsia" w:asciiTheme="minorEastAsia" w:hAnsiTheme="minorEastAsia" w:eastAsiaTheme="minorEastAsia"/>
        </w:rPr>
      </w:pPr>
      <w:r>
        <w:rPr>
          <w:rFonts w:hint="eastAsia" w:asciiTheme="minorEastAsia" w:hAnsiTheme="minorEastAsia" w:eastAsiaTheme="minorEastAsia"/>
          <w:lang w:val="en-US" w:eastAsia="zh-CN"/>
        </w:rPr>
        <w:t>6.</w:t>
      </w:r>
      <w:r>
        <w:rPr>
          <w:rFonts w:hint="eastAsia" w:asciiTheme="minorEastAsia" w:hAnsiTheme="minorEastAsia" w:eastAsiaTheme="minorEastAsia"/>
          <w:lang w:eastAsia="zh-CN"/>
        </w:rPr>
        <w:t>供应商</w:t>
      </w:r>
      <w:r>
        <w:rPr>
          <w:rFonts w:hint="eastAsia" w:asciiTheme="minorEastAsia" w:hAnsiTheme="minorEastAsia" w:eastAsiaTheme="minorEastAsia"/>
        </w:rPr>
        <w:t>需提供包括原材料采购、加工制作等各个环节的实施方案在内的生产实施方案，在规定的时间内有计划的完成项目需求产品的生产和装配。</w:t>
      </w:r>
    </w:p>
    <w:p w14:paraId="3DB501C5">
      <w:pPr>
        <w:widowControl/>
        <w:tabs>
          <w:tab w:val="center" w:pos="4363"/>
        </w:tabs>
        <w:spacing w:line="360" w:lineRule="auto"/>
        <w:ind w:firstLine="480" w:firstLineChars="200"/>
        <w:jc w:val="left"/>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7</w:t>
      </w:r>
      <w:r>
        <w:rPr>
          <w:rFonts w:hint="default" w:asciiTheme="minorEastAsia" w:hAnsiTheme="minorEastAsia" w:eastAsiaTheme="minorEastAsia"/>
          <w:lang w:val="en-US" w:eastAsia="zh-CN"/>
        </w:rPr>
        <w:t>.供应商需具有国家检测机构出具的以上产品如文件柜、会议桌、沙发、办公桌、办公椅合格的检验报告。（递交报价文件时提供复印件，不提供作无效处理）</w:t>
      </w:r>
    </w:p>
    <w:p w14:paraId="430D54DE">
      <w:pPr>
        <w:widowControl/>
        <w:tabs>
          <w:tab w:val="center" w:pos="4363"/>
        </w:tabs>
        <w:spacing w:line="360" w:lineRule="auto"/>
        <w:ind w:firstLine="480" w:firstLineChars="200"/>
        <w:jc w:val="left"/>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8</w:t>
      </w:r>
      <w:r>
        <w:rPr>
          <w:rFonts w:hint="default" w:asciiTheme="minorEastAsia" w:hAnsiTheme="minorEastAsia" w:eastAsiaTheme="minorEastAsia"/>
          <w:lang w:val="en-US" w:eastAsia="zh-CN"/>
        </w:rPr>
        <w:t>.供应商需具有国家检测机构出具的主要材料：牛皮、夹板、钢管、海绵、PVC封边条、万向脚、粉末涂料（塑粉）轮等检验合格报告。（递交报价文件时提供复印件，不提供作无效处理）</w:t>
      </w:r>
    </w:p>
    <w:p w14:paraId="7F40BF84">
      <w:pPr>
        <w:pStyle w:val="19"/>
        <w:widowControl/>
        <w:numPr>
          <w:ilvl w:val="0"/>
          <w:numId w:val="0"/>
        </w:numPr>
        <w:spacing w:line="360" w:lineRule="auto"/>
        <w:ind w:left="720" w:leftChars="0" w:hanging="720" w:firstLineChars="0"/>
        <w:jc w:val="left"/>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四、质量要求</w:t>
      </w:r>
    </w:p>
    <w:p w14:paraId="0C809C2D">
      <w:pPr>
        <w:widowControl/>
        <w:spacing w:line="360" w:lineRule="auto"/>
        <w:ind w:firstLine="48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lang w:eastAsia="zh-CN"/>
        </w:rPr>
        <w:t>供应商</w:t>
      </w:r>
      <w:r>
        <w:rPr>
          <w:rFonts w:hint="eastAsia" w:asciiTheme="minorEastAsia" w:hAnsiTheme="minorEastAsia" w:eastAsiaTheme="minorEastAsia" w:cstheme="minorEastAsia"/>
        </w:rPr>
        <w:t>提供的货物是用优良的工艺和优质材料制造而成的并符合最新的中华人民共和国国家安全环保标准、国家有关产品质量认证标准。</w:t>
      </w:r>
    </w:p>
    <w:p w14:paraId="68F73412">
      <w:pPr>
        <w:widowControl/>
        <w:spacing w:line="360" w:lineRule="auto"/>
        <w:ind w:firstLine="48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lang w:eastAsia="zh-CN"/>
        </w:rPr>
        <w:t>供应商</w:t>
      </w:r>
      <w:r>
        <w:rPr>
          <w:rFonts w:hint="eastAsia" w:asciiTheme="minorEastAsia" w:hAnsiTheme="minorEastAsia" w:eastAsiaTheme="minorEastAsia" w:cstheme="minorEastAsia"/>
        </w:rPr>
        <w:t>提供的货物(含零配件、随机工具等)是全新、表面和内部均无瑕疵的原厂正品，并需随货物装箱提供制造厂的设备检验、测试报告、检验合格证书、质量保证书和保修书等证明文件。</w:t>
      </w:r>
    </w:p>
    <w:p w14:paraId="32F65660">
      <w:pPr>
        <w:widowControl/>
        <w:spacing w:line="360" w:lineRule="auto"/>
        <w:ind w:firstLine="48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lang w:eastAsia="zh-CN"/>
        </w:rPr>
        <w:t>供应商</w:t>
      </w:r>
      <w:r>
        <w:rPr>
          <w:rFonts w:hint="eastAsia" w:asciiTheme="minorEastAsia" w:hAnsiTheme="minorEastAsia" w:eastAsiaTheme="minorEastAsia" w:cstheme="minorEastAsia"/>
        </w:rPr>
        <w:t>必须保证提供的货物不侵犯任何第三方的专利、商标或版权，否则，</w:t>
      </w:r>
      <w:r>
        <w:rPr>
          <w:rFonts w:hint="eastAsia" w:asciiTheme="minorEastAsia" w:hAnsiTheme="minorEastAsia" w:eastAsiaTheme="minorEastAsia" w:cstheme="minorEastAsia"/>
          <w:lang w:eastAsia="zh-CN"/>
        </w:rPr>
        <w:t>供应商</w:t>
      </w:r>
      <w:r>
        <w:rPr>
          <w:rFonts w:hint="eastAsia" w:asciiTheme="minorEastAsia" w:hAnsiTheme="minorEastAsia" w:eastAsiaTheme="minorEastAsia" w:cstheme="minorEastAsia"/>
        </w:rPr>
        <w:t>必须承担对第三方的专利或版权的侵权责任并承担因此而发生的所有费用。</w:t>
      </w:r>
    </w:p>
    <w:p w14:paraId="6D16F0DC">
      <w:pPr>
        <w:widowControl/>
        <w:spacing w:line="360" w:lineRule="auto"/>
        <w:ind w:firstLine="48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所有家具及安装应坚固、实用、安全、美观(端正平整)。</w:t>
      </w:r>
    </w:p>
    <w:p w14:paraId="579CA4A8">
      <w:pPr>
        <w:widowControl/>
        <w:spacing w:line="360" w:lineRule="auto"/>
        <w:ind w:firstLine="48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所有面材、基材、油漆、胶水、五金配件、台面工艺等符合采购文件要求，其技术要求应等同或优于采购文件所规定的技术要求，</w:t>
      </w:r>
      <w:r>
        <w:rPr>
          <w:rFonts w:hint="eastAsia" w:asciiTheme="minorEastAsia" w:hAnsiTheme="minorEastAsia" w:eastAsiaTheme="minorEastAsia" w:cstheme="minorEastAsia"/>
          <w:lang w:eastAsia="zh-CN"/>
        </w:rPr>
        <w:t>供应商</w:t>
      </w:r>
      <w:r>
        <w:rPr>
          <w:rFonts w:hint="eastAsia" w:asciiTheme="minorEastAsia" w:hAnsiTheme="minorEastAsia" w:eastAsiaTheme="minorEastAsia" w:cstheme="minorEastAsia"/>
        </w:rPr>
        <w:t>应提供必要的证明文件以证明该产品的技术性能，可靠性、安全性及耐用性。</w:t>
      </w:r>
    </w:p>
    <w:p w14:paraId="4C87F8DC">
      <w:pPr>
        <w:widowControl/>
        <w:tabs>
          <w:tab w:val="center" w:pos="4363"/>
        </w:tabs>
        <w:spacing w:line="360" w:lineRule="auto"/>
        <w:ind w:firstLine="480" w:firstLineChars="200"/>
        <w:jc w:val="left"/>
        <w:rPr>
          <w:rFonts w:hint="eastAsia"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lang w:val="en-US" w:eastAsia="zh-CN"/>
        </w:rPr>
        <w:t>.</w:t>
      </w:r>
      <w:r>
        <w:rPr>
          <w:rFonts w:hint="eastAsia" w:asciiTheme="minorEastAsia" w:hAnsiTheme="minorEastAsia" w:eastAsiaTheme="minorEastAsia"/>
        </w:rPr>
        <w:t>产品包装整齐，装配后紧密牢固，所有产品的木材、板面经喷油、打磨，光滑以确保人体免受损伤，油漆采用国家现行相关标准环保漆。产品符合国家现行相关标准和厂家出厂标准，要严格经过杀菌、杀虫处理，技术上不会变形</w:t>
      </w:r>
      <w:r>
        <w:rPr>
          <w:rFonts w:hint="eastAsia" w:asciiTheme="minorEastAsia" w:hAnsiTheme="minorEastAsia" w:eastAsiaTheme="minorEastAsia"/>
          <w:lang w:eastAsia="zh-CN"/>
        </w:rPr>
        <w:t>、</w:t>
      </w:r>
      <w:r>
        <w:rPr>
          <w:rFonts w:hint="eastAsia" w:asciiTheme="minorEastAsia" w:hAnsiTheme="minorEastAsia" w:eastAsiaTheme="minorEastAsia"/>
        </w:rPr>
        <w:t>生虫，含水率符合使用地区平均平衡含水率。面材、基材(素板)、油漆、胶水中的甲醛、甲苯与二甲苯等苯系物质的释放量均应符合需求清单中材质要求所列出的限量标准。</w:t>
      </w:r>
    </w:p>
    <w:p w14:paraId="3E0E2554">
      <w:pPr>
        <w:pStyle w:val="19"/>
        <w:widowControl/>
        <w:numPr>
          <w:ilvl w:val="0"/>
          <w:numId w:val="0"/>
        </w:numPr>
        <w:spacing w:line="360" w:lineRule="auto"/>
        <w:jc w:val="left"/>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五、商务要求</w:t>
      </w:r>
    </w:p>
    <w:p w14:paraId="4006B8B3">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（一）报价要求</w:t>
      </w:r>
    </w:p>
    <w:p w14:paraId="155DECE4">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1.本项目总报价最高上限价52700元，报价高于本项目最高上限价的为无效报价。</w:t>
      </w:r>
    </w:p>
    <w:p w14:paraId="7653C2ED">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2.供应商报价应包括完成项目所必须的全部货物、税费、运费、保险费、仓储费、质保、安装、售后服务等全部费用。报价以人民币为货币单位，单价、小计和总价应清楚表达。</w:t>
      </w:r>
    </w:p>
    <w:p w14:paraId="41BD082F">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3.本项目由成交供应商负责本项目需求对成交供应商要求的一切事宜及责任，如果供应商在签署合同后，在项目实施过程中出现报价内容的任何遗漏，均由成交供应商提供，采购人将不再支付任何费用。</w:t>
      </w:r>
    </w:p>
    <w:p w14:paraId="34C91292">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4.货币：人民币。</w:t>
      </w:r>
    </w:p>
    <w:p w14:paraId="0C1984BC">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（二）到货及安装地点、时间</w:t>
      </w:r>
    </w:p>
    <w:p w14:paraId="32AC02D5">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1.到货及安装地点：中山市口腔医院</w:t>
      </w:r>
    </w:p>
    <w:p w14:paraId="7924A42B">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2.交付时间：接到采购人通知后20日内完成供货并安装。</w:t>
      </w:r>
    </w:p>
    <w:p w14:paraId="0A8AC435">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（三）包装及运输</w:t>
      </w:r>
    </w:p>
    <w:p w14:paraId="44AA86BF">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1.包装必须与运输方式相适应，包装方式的确定及包装费用均由成交供应商负责；由于不适当的包装而造成货物在运输过程中有任何损坏、丢失由乙方负责。</w:t>
      </w:r>
    </w:p>
    <w:p w14:paraId="41DE5CEB">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2.包装应足以承受整个过程中的运输、转运、装卸、储存等，充分考虑到运输途中的各种情况（如暴露于恶劣气候等）和中山地区的气候特点，以及露天存放的需要。</w:t>
      </w:r>
    </w:p>
    <w:p w14:paraId="32FB9CB6">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由成交供应商直接派人将货物运送至采购人指定科室，设备、配件送到现场过程中的全部运输，包括装卸车、货物现场的搬运，费用由成交供应商负责。不接受成交供应商以物流或快递等形式发货，否则，采购人将不予签收和验收。</w:t>
      </w:r>
    </w:p>
    <w:p w14:paraId="38FDE908">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4.货物在现场的保管由成交供应商负责，直至项目安装、验收完毕。</w:t>
      </w:r>
    </w:p>
    <w:p w14:paraId="68348A9F">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5.包装费、运费已包含在合同价内。</w:t>
      </w:r>
    </w:p>
    <w:p w14:paraId="66F6D57F">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（四）质保期及售后服务要求</w:t>
      </w:r>
    </w:p>
    <w:p w14:paraId="50510F1B">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1.质量保证</w:t>
      </w:r>
    </w:p>
    <w:p w14:paraId="4C943D7F">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1.1质保期不少于1年。</w:t>
      </w:r>
    </w:p>
    <w:p w14:paraId="4DA7A5F4">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1.2成交供应商保证设备是全新、未曾使用过的，其质量、规格及技术特征符合项目需求书及合同的要求，必须对交付的货物在质保期内及质保期外承担质量保修责任。</w:t>
      </w:r>
    </w:p>
    <w:p w14:paraId="40133CAB">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1.3质保期内维修及零配件更换的一切费用由成交供应商负责，如果需要更换配件的，更换的配件跟被更换的品牌、类型相一致或者是同类更高档次的替代品，后者需征得采购人同意。如设备或零部件因非人为因素出现故障而造成短期停用时，或因成交供应商原因造成停机，质保期依时顺延保修期的期限。</w:t>
      </w:r>
    </w:p>
    <w:p w14:paraId="3DE25438">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1.4保修期内非因采购人的人为原因而出现产品质量及安装问题，由成交供应商负责包修、包换或包退，并承担因此而产生的一切费用。成交供应商在保修期内应确保正常使用率为95%以上，如达不到此要求，即按故障时间（以报修时间起算）的3倍延长保修期。</w:t>
      </w:r>
    </w:p>
    <w:p w14:paraId="01C03BFB">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1.5成交供应商负责设备的终身维修并应提供优质的售后服务，成交供应商需列明质保期满后的年度售后服务费用（全保费用）。</w:t>
      </w:r>
    </w:p>
    <w:p w14:paraId="2666854F">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2.售后服务</w:t>
      </w:r>
    </w:p>
    <w:p w14:paraId="6A5A1761">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2.1质保期满后，若有设备出现故障，属于寿命异常问题（明显短于该零部件正常寿命）时，则由成交供应商负责免费更换及维修。</w:t>
      </w:r>
    </w:p>
    <w:p w14:paraId="754CB433">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2.2质保期满后，应采购人要求，成交供应商应（参考当时的市场价格）按优惠价格与采购人签订定期维修保养合同及提供采购人所需零配件。</w:t>
      </w:r>
    </w:p>
    <w:p w14:paraId="5B580922">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2.3在备件停止生产的情况下，成交供应商应事先将要停止生产的计划通知采购人，使采购人有足够的时间采购所需备件；在备件停止生产后，成交供应商应免费向采购提供备件的图纸、资料。</w:t>
      </w:r>
    </w:p>
    <w:p w14:paraId="3FD98BA0">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2.4要求售后服务为生产原厂家负责，成交供应商提供厂家售后服务承诺书。</w:t>
      </w:r>
    </w:p>
    <w:p w14:paraId="32084268">
      <w:pPr>
        <w:bidi w:val="0"/>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（五）结算及付款方式</w:t>
      </w:r>
    </w:p>
    <w:p w14:paraId="2D3F539C">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default" w:asciiTheme="minorEastAsia" w:hAnsiTheme="minorEastAsia" w:eastAsiaTheme="minorEastAsia"/>
          <w:lang w:val="en-US" w:eastAsia="zh-CN"/>
        </w:rPr>
        <w:t>1</w:t>
      </w:r>
      <w:r>
        <w:rPr>
          <w:rFonts w:hint="eastAsia" w:asciiTheme="minorEastAsia" w:hAnsiTheme="minorEastAsia" w:eastAsiaTheme="minorEastAsia"/>
          <w:lang w:val="en-US" w:eastAsia="zh-CN"/>
        </w:rPr>
        <w:t>.合同货物全部到采购人指定科室交付并完成安装后申请验收，验收合格后成交供应商向采购人提交申请款项支付资料之后30个工作日内，采购人向成交供应商支付100%合同款项。</w:t>
      </w:r>
    </w:p>
    <w:p w14:paraId="18687B07">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2.本合同款项以人民币通过银行转账方式结算，乙方凭以下资料申请款项支付：</w:t>
      </w:r>
    </w:p>
    <w:p w14:paraId="68F7480B">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①合同复印件；②送货单及验收单；③乙方开具对应款项的正规全额发票和对应款项收据。</w:t>
      </w:r>
    </w:p>
    <w:p w14:paraId="64A44D96">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因采购人使用资金需要经过财务审批程序，采购人在前款规定的付款时间为向财务部门提出办理支付申请手续的时间（不含账务部门、支付部门审核的时间），在规定时间内提出支付申请手续后即视为采购人已经按期支付。</w:t>
      </w:r>
    </w:p>
    <w:p w14:paraId="0E119C41">
      <w:pPr>
        <w:bidi w:val="0"/>
        <w:rPr>
          <w:rFonts w:hint="eastAsia" w:ascii="微软雅黑" w:hAnsi="微软雅黑" w:eastAsia="微软雅黑" w:cs="微软雅黑"/>
          <w:b/>
          <w:bCs/>
          <w:lang w:val="en-US" w:eastAsia="zh-CN"/>
        </w:rPr>
      </w:pPr>
      <w:bookmarkStart w:id="0" w:name="_Toc259090960"/>
      <w:r>
        <w:rPr>
          <w:rFonts w:hint="eastAsia" w:ascii="微软雅黑" w:hAnsi="微软雅黑" w:eastAsia="微软雅黑" w:cs="微软雅黑"/>
          <w:b/>
          <w:bCs/>
          <w:lang w:val="en-US" w:eastAsia="zh-CN"/>
        </w:rPr>
        <w:t>六、评审方法</w:t>
      </w:r>
    </w:p>
    <w:p w14:paraId="0B1FAE58">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经评审的最低价：评审小组根据符合采购需求质量和服务且价格最低的原则确定成交供应商。</w:t>
      </w:r>
    </w:p>
    <w:p w14:paraId="4FBE916E">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注：如报价相同时，可根据供货时间、服务便利性等因素择优推荐排名。</w:t>
      </w:r>
    </w:p>
    <w:bookmarkEnd w:id="0"/>
    <w:p w14:paraId="0FC5374C">
      <w:pPr>
        <w:bidi w:val="0"/>
        <w:rPr>
          <w:rFonts w:hint="default" w:ascii="微软雅黑" w:hAnsi="微软雅黑" w:eastAsia="微软雅黑" w:cs="微软雅黑"/>
          <w:b/>
          <w:bCs/>
          <w:lang w:val="en-US" w:eastAsia="zh-CN"/>
        </w:rPr>
      </w:pPr>
      <w:r>
        <w:rPr>
          <w:rFonts w:hint="eastAsia" w:ascii="微软雅黑" w:hAnsi="微软雅黑" w:eastAsia="微软雅黑" w:cs="微软雅黑"/>
          <w:b/>
          <w:bCs/>
          <w:lang w:val="en-US" w:eastAsia="zh-CN"/>
        </w:rPr>
        <w:t xml:space="preserve">七、合同订立 </w:t>
      </w:r>
    </w:p>
    <w:p w14:paraId="1948619C">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定标程序：采购人按照评审汇总表确定排名第一的为成交供应商。</w:t>
      </w:r>
    </w:p>
    <w:p w14:paraId="0C19598E">
      <w:pPr>
        <w:widowControl/>
        <w:tabs>
          <w:tab w:val="center" w:pos="4363"/>
        </w:tabs>
        <w:spacing w:line="360" w:lineRule="auto"/>
        <w:ind w:firstLine="48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成交供应商确定后，成交供应商拒绝与采购人签订合同的或者放弃成交资格，采购人可以按照评审汇总表的排序，递补确定排名第二的供应商为成交供应商，也可以重新开展采购活动。</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2CE8D">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9AE6AAA"/>
    <w:rsid w:val="10182804"/>
    <w:rsid w:val="108C1CE9"/>
    <w:rsid w:val="157620F9"/>
    <w:rsid w:val="183A0A6A"/>
    <w:rsid w:val="1EC341D8"/>
    <w:rsid w:val="33557238"/>
    <w:rsid w:val="3670645E"/>
    <w:rsid w:val="3DBF0FE8"/>
    <w:rsid w:val="3F581A05"/>
    <w:rsid w:val="5AB36DD5"/>
    <w:rsid w:val="6044285D"/>
    <w:rsid w:val="60DF1113"/>
    <w:rsid w:val="6158132F"/>
    <w:rsid w:val="71321BD9"/>
    <w:rsid w:val="75F547A2"/>
    <w:rsid w:val="789D76A4"/>
    <w:rsid w:val="7A9146A4"/>
    <w:rsid w:val="7DCA2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6"/>
    <w:link w:val="17"/>
    <w:semiHidden/>
    <w:unhideWhenUsed/>
    <w:qFormat/>
    <w:uiPriority w:val="0"/>
    <w:pPr>
      <w:keepNext/>
      <w:keepLines/>
      <w:spacing w:line="480" w:lineRule="auto"/>
      <w:jc w:val="center"/>
      <w:outlineLvl w:val="1"/>
    </w:pPr>
    <w:rPr>
      <w:rFonts w:ascii="Arial" w:hAnsi="Arial" w:eastAsia="宋体"/>
      <w:b/>
      <w:bCs/>
      <w:sz w:val="32"/>
      <w:szCs w:val="32"/>
    </w:rPr>
  </w:style>
  <w:style w:type="paragraph" w:styleId="7">
    <w:name w:val="heading 3"/>
    <w:basedOn w:val="1"/>
    <w:next w:val="1"/>
    <w:link w:val="18"/>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toc 5"/>
    <w:basedOn w:val="1"/>
    <w:next w:val="1"/>
    <w:qFormat/>
    <w:uiPriority w:val="0"/>
    <w:pPr>
      <w:ind w:left="840"/>
      <w:jc w:val="left"/>
    </w:pPr>
    <w:rPr>
      <w:rFonts w:ascii="Calibri" w:hAnsi="Calibri" w:cs="Calibri"/>
      <w:sz w:val="18"/>
      <w:szCs w:val="18"/>
    </w:rPr>
  </w:style>
  <w:style w:type="paragraph" w:styleId="6">
    <w:name w:val="Normal Indent"/>
    <w:basedOn w:val="1"/>
    <w:qFormat/>
    <w:uiPriority w:val="0"/>
    <w:pPr>
      <w:ind w:firstLine="420" w:firstLineChars="200"/>
    </w:pPr>
  </w:style>
  <w:style w:type="paragraph" w:styleId="8">
    <w:name w:val="Body Text Indent"/>
    <w:basedOn w:val="1"/>
    <w:next w:val="9"/>
    <w:qFormat/>
    <w:uiPriority w:val="99"/>
    <w:pPr>
      <w:spacing w:after="120"/>
      <w:ind w:left="420" w:leftChars="200"/>
    </w:pPr>
    <w:rPr>
      <w:rFonts w:cs="Times New Roman"/>
    </w:rPr>
  </w:style>
  <w:style w:type="paragraph" w:styleId="9">
    <w:name w:val="Body Text First Indent 2"/>
    <w:basedOn w:val="8"/>
    <w:next w:val="1"/>
    <w:qFormat/>
    <w:uiPriority w:val="0"/>
    <w:pPr>
      <w:spacing w:after="0"/>
      <w:ind w:left="824" w:leftChars="400" w:firstLine="420" w:firstLineChars="200"/>
    </w:pPr>
    <w:rPr>
      <w:rFonts w:ascii="宋体" w:hAnsi="宋体" w:cs="Times New Roman"/>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标题 2 Char"/>
    <w:link w:val="5"/>
    <w:qFormat/>
    <w:uiPriority w:val="0"/>
    <w:rPr>
      <w:rFonts w:ascii="Arial" w:hAnsi="Arial" w:eastAsia="宋体" w:cs="Times New Roman"/>
      <w:b/>
      <w:bCs/>
      <w:sz w:val="32"/>
      <w:szCs w:val="32"/>
    </w:rPr>
  </w:style>
  <w:style w:type="character" w:customStyle="1" w:styleId="18">
    <w:name w:val="标题 3 Char"/>
    <w:link w:val="7"/>
    <w:qFormat/>
    <w:uiPriority w:val="0"/>
    <w:rPr>
      <w:rFonts w:eastAsia="宋体"/>
      <w:b/>
      <w:sz w:val="28"/>
    </w:rPr>
  </w:style>
  <w:style w:type="paragraph" w:styleId="19">
    <w:name w:val="List Paragraph"/>
    <w:basedOn w:val="1"/>
    <w:autoRedefine/>
    <w:qFormat/>
    <w:uiPriority w:val="34"/>
    <w:pPr>
      <w:ind w:firstLine="420" w:firstLineChars="200"/>
    </w:pPr>
    <w:rPr>
      <w:rFonts w:eastAsia="黑体"/>
      <w:bCs/>
      <w:sz w:val="30"/>
      <w:szCs w:val="30"/>
    </w:rPr>
  </w:style>
  <w:style w:type="character" w:customStyle="1" w:styleId="20">
    <w:name w:val="font51"/>
    <w:basedOn w:val="15"/>
    <w:qFormat/>
    <w:uiPriority w:val="0"/>
    <w:rPr>
      <w:rFonts w:hint="eastAsia" w:ascii="宋体" w:hAnsi="宋体" w:eastAsia="宋体" w:cs="宋体"/>
      <w:color w:val="000000"/>
      <w:sz w:val="24"/>
      <w:szCs w:val="24"/>
      <w:u w:val="none"/>
    </w:rPr>
  </w:style>
  <w:style w:type="character" w:customStyle="1" w:styleId="21">
    <w:name w:val="font61"/>
    <w:basedOn w:val="15"/>
    <w:qFormat/>
    <w:uiPriority w:val="0"/>
    <w:rPr>
      <w:rFonts w:hint="eastAsia" w:ascii="宋体" w:hAnsi="宋体" w:eastAsia="宋体" w:cs="宋体"/>
      <w:color w:val="000000"/>
      <w:sz w:val="24"/>
      <w:szCs w:val="24"/>
      <w:u w:val="none"/>
    </w:rPr>
  </w:style>
  <w:style w:type="character" w:customStyle="1" w:styleId="22">
    <w:name w:val="font41"/>
    <w:basedOn w:val="15"/>
    <w:qFormat/>
    <w:uiPriority w:val="0"/>
    <w:rPr>
      <w:rFonts w:hint="eastAsia" w:ascii="宋体" w:hAnsi="宋体" w:eastAsia="宋体" w:cs="宋体"/>
      <w:b/>
      <w:bCs/>
      <w:color w:val="000000"/>
      <w:sz w:val="24"/>
      <w:szCs w:val="24"/>
      <w:u w:val="none"/>
    </w:rPr>
  </w:style>
  <w:style w:type="paragraph" w:customStyle="1" w:styleId="23">
    <w:name w:val="List Paragraph1"/>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2642</Words>
  <Characters>2713</Characters>
  <Lines>0</Lines>
  <Paragraphs>0</Paragraphs>
  <TotalTime>0</TotalTime>
  <ScaleCrop>false</ScaleCrop>
  <LinksUpToDate>false</LinksUpToDate>
  <CharactersWithSpaces>2714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蔓蔓青萝</cp:lastModifiedBy>
  <cp:lastPrinted>2026-04-20T04:03:00Z</cp:lastPrinted>
  <dcterms:modified xsi:type="dcterms:W3CDTF">2026-07-26T09:18:29Z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0078322C9F994E56A3840D7AAA500C19_11</vt:lpwstr>
  </property>
  <property fmtid="{D5CDD505-2E9C-101B-9397-08002B2CF9AE}" pid="4" name="KSOTemplateDocerSaveRecord">
    <vt:lpwstr>eyJoZGlkIjoiYzljYzAwZTRiOTRkMmViNzA0OTFlNDFkMjUwNjJmZDciLCJ1c2VySWQiOiI2NDkzNjEyODAifQ==</vt:lpwstr>
  </property>
</Properties>
</file>