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54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rPr>
      </w:pPr>
      <w:r>
        <w:rPr>
          <w:rFonts w:hint="eastAsia" w:ascii="微软雅黑" w:hAnsi="微软雅黑" w:eastAsia="微软雅黑" w:cs="微软雅黑"/>
          <w:i w:val="0"/>
          <w:iCs w:val="0"/>
          <w:caps w:val="0"/>
          <w:color w:val="2B2B2B"/>
          <w:spacing w:val="0"/>
          <w:sz w:val="24"/>
          <w:szCs w:val="24"/>
          <w:shd w:val="clear" w:fill="FFFFFF"/>
        </w:rPr>
        <w:t>附件1</w:t>
      </w:r>
    </w:p>
    <w:p w14:paraId="5A2AB87B">
      <w:pPr>
        <w:spacing w:line="480" w:lineRule="exact"/>
        <w:jc w:val="center"/>
        <w:rPr>
          <w:rFonts w:hint="eastAsia" w:ascii="微软雅黑" w:hAnsi="微软雅黑" w:eastAsia="微软雅黑" w:cs="微软雅黑"/>
          <w:b/>
          <w:color w:val="auto"/>
          <w:sz w:val="28"/>
          <w:szCs w:val="28"/>
          <w:lang w:val="en-US" w:eastAsia="zh-CN"/>
        </w:rPr>
      </w:pPr>
      <w:r>
        <w:rPr>
          <w:rFonts w:hint="eastAsia" w:ascii="微软雅黑" w:hAnsi="微软雅黑" w:eastAsia="微软雅黑" w:cs="微软雅黑"/>
          <w:b/>
          <w:color w:val="auto"/>
          <w:sz w:val="28"/>
          <w:szCs w:val="28"/>
          <w:lang w:val="en-US" w:eastAsia="zh-CN"/>
        </w:rPr>
        <w:t>项目需求书</w:t>
      </w:r>
    </w:p>
    <w:p w14:paraId="275D203D">
      <w:pPr>
        <w:pStyle w:val="18"/>
        <w:widowControl/>
        <w:numPr>
          <w:ilvl w:val="0"/>
          <w:numId w:val="1"/>
        </w:numPr>
        <w:spacing w:line="360" w:lineRule="auto"/>
        <w:ind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项目基本情况</w:t>
      </w:r>
    </w:p>
    <w:tbl>
      <w:tblPr>
        <w:tblStyle w:val="13"/>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0"/>
        <w:gridCol w:w="5723"/>
      </w:tblGrid>
      <w:tr w14:paraId="02A8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230" w:type="dxa"/>
          </w:tcPr>
          <w:p w14:paraId="66EAFF37">
            <w:pPr>
              <w:spacing w:line="360" w:lineRule="auto"/>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项目名称</w:t>
            </w:r>
          </w:p>
        </w:tc>
        <w:tc>
          <w:tcPr>
            <w:tcW w:w="5723" w:type="dxa"/>
          </w:tcPr>
          <w:p w14:paraId="006DFF07">
            <w:pPr>
              <w:spacing w:line="36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中山市口腔医院2026年律师服务项目</w:t>
            </w:r>
          </w:p>
        </w:tc>
      </w:tr>
      <w:tr w14:paraId="3799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14:paraId="44ECE8B7">
            <w:pPr>
              <w:spacing w:line="360" w:lineRule="auto"/>
              <w:jc w:val="cente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采购预算金额</w:t>
            </w:r>
          </w:p>
        </w:tc>
        <w:tc>
          <w:tcPr>
            <w:tcW w:w="5723" w:type="dxa"/>
          </w:tcPr>
          <w:p w14:paraId="4D49B931">
            <w:pPr>
              <w:spacing w:line="360" w:lineRule="auto"/>
              <w:jc w:val="center"/>
              <w:rPr>
                <w:rFonts w:hint="default" w:ascii="微软雅黑" w:hAnsi="微软雅黑" w:eastAsia="微软雅黑" w:cs="微软雅黑"/>
                <w:sz w:val="24"/>
                <w:szCs w:val="24"/>
                <w:lang w:val="en-US"/>
              </w:rPr>
            </w:pPr>
            <w:r>
              <w:rPr>
                <w:rFonts w:hint="eastAsia" w:ascii="微软雅黑" w:hAnsi="微软雅黑" w:eastAsia="微软雅黑" w:cs="微软雅黑"/>
                <w:sz w:val="24"/>
                <w:szCs w:val="24"/>
                <w:lang w:val="en-US" w:eastAsia="zh-CN"/>
              </w:rPr>
              <w:t>30000元</w:t>
            </w:r>
          </w:p>
        </w:tc>
      </w:tr>
      <w:tr w14:paraId="5F4F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14:paraId="3BFC5E92">
            <w:pPr>
              <w:spacing w:line="360" w:lineRule="auto"/>
              <w:jc w:val="cente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报价最高限价</w:t>
            </w:r>
          </w:p>
        </w:tc>
        <w:tc>
          <w:tcPr>
            <w:tcW w:w="5723" w:type="dxa"/>
          </w:tcPr>
          <w:p w14:paraId="7DC1F74F">
            <w:pPr>
              <w:spacing w:line="360" w:lineRule="auto"/>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30000元</w:t>
            </w:r>
          </w:p>
        </w:tc>
      </w:tr>
      <w:tr w14:paraId="21E5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953" w:type="dxa"/>
            <w:gridSpan w:val="2"/>
          </w:tcPr>
          <w:p w14:paraId="7B24291C">
            <w:pPr>
              <w:spacing w:line="360" w:lineRule="auto"/>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FF0000"/>
                <w:sz w:val="24"/>
                <w:szCs w:val="24"/>
                <w:lang w:val="en-US" w:eastAsia="zh-CN"/>
              </w:rPr>
              <w:t>供应商报价不得超过“报价最高限价”，否则视为无效报价。</w:t>
            </w:r>
          </w:p>
        </w:tc>
      </w:tr>
    </w:tbl>
    <w:p w14:paraId="2A81CF6C">
      <w:pPr>
        <w:pStyle w:val="18"/>
        <w:widowControl/>
        <w:numPr>
          <w:ilvl w:val="0"/>
          <w:numId w:val="1"/>
        </w:numPr>
        <w:spacing w:line="360" w:lineRule="auto"/>
        <w:ind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采购需求</w:t>
      </w:r>
    </w:p>
    <w:p w14:paraId="69CB632E">
      <w:pPr>
        <w:numPr>
          <w:ilvl w:val="0"/>
          <w:numId w:val="2"/>
        </w:numPr>
        <w:spacing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采购项目需实现的功能和目标：</w:t>
      </w:r>
    </w:p>
    <w:p w14:paraId="63962CBA">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根据医院合同管理制度要求,合同需法律顾问提供合同审查服务,以保障合同条款规范,维护我院合法权益。法律顾问同时需要为我院员工开展医疗相关法律法规培训,提升员工法律素养,更有效地预防和化解法律纠纷。</w:t>
      </w:r>
    </w:p>
    <w:p w14:paraId="6157149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eastAsia="zh-CN" w:bidi="zh-CN"/>
        </w:rPr>
        <w:t>二</w:t>
      </w:r>
      <w:r>
        <w:rPr>
          <w:rFonts w:hint="eastAsia" w:ascii="微软雅黑" w:hAnsi="微软雅黑" w:eastAsia="微软雅黑" w:cs="微软雅黑"/>
          <w:sz w:val="24"/>
          <w:szCs w:val="24"/>
          <w:lang w:bidi="zh-CN"/>
        </w:rPr>
        <w:t>）采购标的汇总表</w:t>
      </w:r>
    </w:p>
    <w:tbl>
      <w:tblPr>
        <w:tblStyle w:val="12"/>
        <w:tblW w:w="9058"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4916"/>
        <w:gridCol w:w="1684"/>
        <w:gridCol w:w="1408"/>
      </w:tblGrid>
      <w:tr w14:paraId="746C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0" w:type="dxa"/>
            <w:shd w:val="clear" w:color="auto" w:fill="FFFFFF"/>
            <w:tcMar>
              <w:top w:w="0" w:type="dxa"/>
              <w:right w:w="0" w:type="dxa"/>
            </w:tcMar>
            <w:vAlign w:val="center"/>
          </w:tcPr>
          <w:p w14:paraId="26B972D8">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序号</w:t>
            </w:r>
          </w:p>
        </w:tc>
        <w:tc>
          <w:tcPr>
            <w:tcW w:w="4916" w:type="dxa"/>
            <w:shd w:val="clear" w:color="auto" w:fill="FFFFFF"/>
            <w:tcMar>
              <w:top w:w="0" w:type="dxa"/>
              <w:right w:w="0" w:type="dxa"/>
            </w:tcMar>
            <w:vAlign w:val="center"/>
          </w:tcPr>
          <w:p w14:paraId="0EA02EE9">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eastAsia="zh-CN" w:bidi="zh-CN"/>
              </w:rPr>
              <w:t>标的</w:t>
            </w:r>
            <w:r>
              <w:rPr>
                <w:rFonts w:hint="eastAsia" w:ascii="微软雅黑" w:hAnsi="微软雅黑" w:eastAsia="微软雅黑" w:cs="微软雅黑"/>
                <w:sz w:val="24"/>
                <w:szCs w:val="24"/>
                <w:lang w:bidi="zh-CN"/>
              </w:rPr>
              <w:t>名称</w:t>
            </w:r>
          </w:p>
        </w:tc>
        <w:tc>
          <w:tcPr>
            <w:tcW w:w="1684" w:type="dxa"/>
            <w:shd w:val="clear" w:color="auto" w:fill="FFFFFF"/>
            <w:tcMar>
              <w:top w:w="0" w:type="dxa"/>
              <w:right w:w="0" w:type="dxa"/>
            </w:tcMar>
            <w:vAlign w:val="center"/>
          </w:tcPr>
          <w:p w14:paraId="1C11DDE4">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计量单位</w:t>
            </w:r>
          </w:p>
        </w:tc>
        <w:tc>
          <w:tcPr>
            <w:tcW w:w="1408" w:type="dxa"/>
            <w:shd w:val="clear" w:color="auto" w:fill="FFFFFF"/>
            <w:tcMar>
              <w:top w:w="0" w:type="dxa"/>
              <w:right w:w="0" w:type="dxa"/>
            </w:tcMar>
            <w:vAlign w:val="center"/>
          </w:tcPr>
          <w:p w14:paraId="3E44F155">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数量</w:t>
            </w:r>
          </w:p>
        </w:tc>
      </w:tr>
      <w:tr w14:paraId="74E7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50" w:type="dxa"/>
            <w:shd w:val="clear" w:color="auto" w:fill="FFFFFF"/>
            <w:tcMar>
              <w:top w:w="0" w:type="dxa"/>
              <w:right w:w="0" w:type="dxa"/>
            </w:tcMar>
            <w:vAlign w:val="center"/>
          </w:tcPr>
          <w:p w14:paraId="02E24AA5">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1</w:t>
            </w:r>
          </w:p>
        </w:tc>
        <w:tc>
          <w:tcPr>
            <w:tcW w:w="4916" w:type="dxa"/>
            <w:shd w:val="clear" w:color="auto" w:fill="FFFFFF"/>
            <w:tcMar>
              <w:top w:w="0" w:type="dxa"/>
              <w:right w:w="0" w:type="dxa"/>
            </w:tcMar>
            <w:vAlign w:val="center"/>
          </w:tcPr>
          <w:p w14:paraId="48DBDD2D">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val="en-US" w:eastAsia="zh-CN" w:bidi="zh-CN"/>
              </w:rPr>
              <w:t>中山市口腔医院2026年律师服务项目</w:t>
            </w:r>
          </w:p>
        </w:tc>
        <w:tc>
          <w:tcPr>
            <w:tcW w:w="1684" w:type="dxa"/>
            <w:shd w:val="clear" w:color="auto" w:fill="FFFFFF"/>
            <w:tcMar>
              <w:top w:w="0" w:type="dxa"/>
              <w:right w:w="0" w:type="dxa"/>
            </w:tcMar>
            <w:vAlign w:val="center"/>
          </w:tcPr>
          <w:p w14:paraId="48F75AF3">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default" w:ascii="微软雅黑" w:hAnsi="微软雅黑" w:eastAsia="微软雅黑" w:cs="微软雅黑"/>
                <w:sz w:val="24"/>
                <w:szCs w:val="24"/>
                <w:lang w:val="en-US" w:bidi="zh-CN"/>
              </w:rPr>
            </w:pPr>
            <w:r>
              <w:rPr>
                <w:rFonts w:hint="eastAsia" w:ascii="微软雅黑" w:hAnsi="微软雅黑" w:eastAsia="微软雅黑" w:cs="微软雅黑"/>
                <w:sz w:val="24"/>
                <w:szCs w:val="24"/>
                <w:lang w:val="en-US" w:bidi="zh-CN"/>
              </w:rPr>
              <w:t>项</w:t>
            </w:r>
          </w:p>
        </w:tc>
        <w:tc>
          <w:tcPr>
            <w:tcW w:w="1408" w:type="dxa"/>
            <w:shd w:val="clear" w:color="auto" w:fill="FFFFFF"/>
            <w:tcMar>
              <w:top w:w="0" w:type="dxa"/>
              <w:right w:w="0" w:type="dxa"/>
            </w:tcMar>
            <w:vAlign w:val="center"/>
          </w:tcPr>
          <w:p w14:paraId="3A1EDB30">
            <w:pPr>
              <w:keepNext w:val="0"/>
              <w:keepLines w:val="0"/>
              <w:pageBreakBefore w:val="0"/>
              <w:widowControl w:val="0"/>
              <w:kinsoku/>
              <w:wordWrap/>
              <w:overflowPunct/>
              <w:topLinePunct w:val="0"/>
              <w:autoSpaceDE/>
              <w:autoSpaceDN/>
              <w:bidi w:val="0"/>
              <w:adjustRightInd w:val="0"/>
              <w:snapToGrid w:val="0"/>
              <w:ind w:right="0" w:rightChars="0" w:firstLine="0" w:firstLineChars="0"/>
              <w:jc w:val="center"/>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val="en-US" w:eastAsia="zh-CN" w:bidi="zh-CN"/>
              </w:rPr>
              <w:t>1</w:t>
            </w:r>
          </w:p>
        </w:tc>
      </w:tr>
      <w:tr w14:paraId="28D8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9058" w:type="dxa"/>
            <w:gridSpan w:val="4"/>
            <w:shd w:val="clear" w:color="auto" w:fill="FFFFFF"/>
            <w:tcMar>
              <w:top w:w="0" w:type="dxa"/>
              <w:right w:w="0" w:type="dxa"/>
            </w:tcMar>
            <w:vAlign w:val="center"/>
          </w:tcPr>
          <w:p w14:paraId="57B5D882">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报价要求：报价包括律师服务费、差旅费、资料费、应向中华人民共和国政府缴纳的增值税和其它税等全部税费、以及履行合同所需的费用、所有风险、责任等其他一切隐含及不可预见的费用。</w:t>
            </w:r>
          </w:p>
        </w:tc>
      </w:tr>
    </w:tbl>
    <w:p w14:paraId="27D1949A">
      <w:pPr>
        <w:spacing w:line="360" w:lineRule="auto"/>
        <w:rPr>
          <w:rFonts w:hint="eastAsia" w:ascii="微软雅黑" w:hAnsi="微软雅黑" w:eastAsia="微软雅黑" w:cs="微软雅黑"/>
          <w:sz w:val="24"/>
          <w:szCs w:val="24"/>
        </w:rPr>
        <w:sectPr>
          <w:headerReference r:id="rId5" w:type="default"/>
          <w:footerReference r:id="rId6" w:type="default"/>
          <w:pgSz w:w="11900" w:h="16840"/>
          <w:pgMar w:top="1440" w:right="1800" w:bottom="1440" w:left="1800" w:header="851" w:footer="992" w:gutter="0"/>
          <w:pgNumType w:fmt="decimal" w:start="1"/>
          <w:cols w:space="425" w:num="1"/>
          <w:docGrid w:type="lines" w:linePitch="312" w:charSpace="0"/>
        </w:sectPr>
      </w:pPr>
    </w:p>
    <w:p w14:paraId="6D966B24">
      <w:pPr>
        <w:spacing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（三</w:t>
      </w:r>
      <w:r>
        <w:rPr>
          <w:rFonts w:hint="eastAsia" w:ascii="微软雅黑" w:hAnsi="微软雅黑" w:eastAsia="微软雅黑" w:cs="微软雅黑"/>
          <w:sz w:val="24"/>
          <w:szCs w:val="24"/>
        </w:rPr>
        <w:t>）技术要求与商务要求</w:t>
      </w:r>
    </w:p>
    <w:tbl>
      <w:tblPr>
        <w:tblStyle w:val="12"/>
        <w:tblW w:w="5565" w:type="pct"/>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8"/>
      </w:tblGrid>
      <w:tr w14:paraId="248C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3"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C6863DF">
            <w:pPr>
              <w:adjustRightInd w:val="0"/>
              <w:snapToGrid w:val="0"/>
              <w:ind w:right="120" w:rightChars="50"/>
              <w:jc w:val="left"/>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一、项目概况及服务内容</w:t>
            </w:r>
          </w:p>
          <w:p w14:paraId="55374645">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w:t>
            </w:r>
            <w:r>
              <w:rPr>
                <w:rFonts w:hint="eastAsia" w:ascii="微软雅黑" w:hAnsi="微软雅黑" w:eastAsia="微软雅黑" w:cs="微软雅黑"/>
                <w:sz w:val="24"/>
                <w:szCs w:val="24"/>
                <w:lang w:val="en-US" w:eastAsia="zh-CN" w:bidi="zh-CN"/>
              </w:rPr>
              <w:t>.</w:t>
            </w:r>
            <w:r>
              <w:rPr>
                <w:rFonts w:hint="eastAsia" w:ascii="微软雅黑" w:hAnsi="微软雅黑" w:eastAsia="微软雅黑" w:cs="微软雅黑"/>
                <w:sz w:val="24"/>
                <w:szCs w:val="24"/>
                <w:lang w:bidi="zh-CN"/>
              </w:rPr>
              <w:t>项目名称：中山市</w:t>
            </w:r>
            <w:r>
              <w:rPr>
                <w:rFonts w:hint="eastAsia" w:ascii="微软雅黑" w:hAnsi="微软雅黑" w:eastAsia="微软雅黑" w:cs="微软雅黑"/>
                <w:sz w:val="24"/>
                <w:szCs w:val="24"/>
                <w:lang w:val="en-US" w:eastAsia="zh-CN" w:bidi="zh-CN"/>
              </w:rPr>
              <w:t>口腔医院2026年</w:t>
            </w:r>
            <w:r>
              <w:rPr>
                <w:rFonts w:hint="eastAsia" w:ascii="微软雅黑" w:hAnsi="微软雅黑" w:eastAsia="微软雅黑" w:cs="微软雅黑"/>
                <w:sz w:val="24"/>
                <w:szCs w:val="24"/>
                <w:lang w:bidi="zh-CN"/>
              </w:rPr>
              <w:t>律师服务项目</w:t>
            </w:r>
          </w:p>
          <w:p w14:paraId="61D93861">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bidi="zh-CN"/>
              </w:rPr>
              <w:t>2</w:t>
            </w:r>
            <w:r>
              <w:rPr>
                <w:rFonts w:hint="eastAsia" w:ascii="微软雅黑" w:hAnsi="微软雅黑" w:eastAsia="微软雅黑" w:cs="微软雅黑"/>
                <w:sz w:val="24"/>
                <w:szCs w:val="24"/>
                <w:lang w:val="en-US" w:eastAsia="zh-CN" w:bidi="zh-CN"/>
              </w:rPr>
              <w:t>.服务</w:t>
            </w:r>
            <w:r>
              <w:rPr>
                <w:rFonts w:hint="eastAsia" w:ascii="微软雅黑" w:hAnsi="微软雅黑" w:eastAsia="微软雅黑" w:cs="微软雅黑"/>
                <w:sz w:val="24"/>
                <w:szCs w:val="24"/>
                <w:lang w:bidi="zh-CN"/>
              </w:rPr>
              <w:t>内容：</w:t>
            </w:r>
            <w:r>
              <w:rPr>
                <w:rFonts w:hint="eastAsia" w:ascii="微软雅黑" w:hAnsi="微软雅黑" w:eastAsia="微软雅黑" w:cs="微软雅黑"/>
                <w:sz w:val="24"/>
                <w:szCs w:val="24"/>
                <w:lang w:val="en-US" w:eastAsia="zh-CN" w:bidi="zh-CN"/>
              </w:rPr>
              <w:t>根据医院制度，</w:t>
            </w:r>
            <w:r>
              <w:rPr>
                <w:rFonts w:hint="eastAsia" w:ascii="微软雅黑" w:hAnsi="微软雅黑" w:eastAsia="微软雅黑" w:cs="微软雅黑"/>
                <w:sz w:val="24"/>
                <w:szCs w:val="24"/>
                <w:lang w:bidi="zh-CN"/>
              </w:rPr>
              <w:t>拟委托一家律师事务所，</w:t>
            </w:r>
            <w:r>
              <w:rPr>
                <w:rFonts w:hint="eastAsia" w:ascii="微软雅黑" w:hAnsi="微软雅黑" w:eastAsia="微软雅黑" w:cs="微软雅黑"/>
                <w:sz w:val="24"/>
                <w:szCs w:val="24"/>
                <w:lang w:val="en-US" w:eastAsia="zh-CN" w:bidi="zh-CN"/>
              </w:rPr>
              <w:t>对我院3万元以上（含3万）经济合同进行审核并出具法律意见书</w:t>
            </w:r>
          </w:p>
          <w:p w14:paraId="38E28971">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3.供应商</w:t>
            </w:r>
            <w:r>
              <w:rPr>
                <w:rFonts w:hint="eastAsia" w:ascii="微软雅黑" w:hAnsi="微软雅黑" w:eastAsia="微软雅黑" w:cs="微软雅黑"/>
                <w:sz w:val="24"/>
                <w:szCs w:val="24"/>
                <w:lang w:bidi="zh-CN"/>
              </w:rPr>
              <w:t>须具备广东省政府采购智慧云平台电子卖场供应商资质。</w:t>
            </w:r>
          </w:p>
          <w:p w14:paraId="39709792">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lang w:val="en-US" w:eastAsia="zh-CN"/>
              </w:rPr>
            </w:pPr>
            <w:r>
              <w:rPr>
                <w:rFonts w:hint="eastAsia" w:ascii="微软雅黑" w:hAnsi="微软雅黑" w:eastAsia="微软雅黑" w:cs="微软雅黑"/>
                <w:sz w:val="24"/>
                <w:szCs w:val="24"/>
                <w:lang w:val="en-US" w:eastAsia="zh-CN" w:bidi="zh-CN"/>
              </w:rPr>
              <w:t>4.供应商须为在中华人民共和国境内依法设立并取得《律师事务所执业许可证》的律师事务所，且年度考核合格。</w:t>
            </w:r>
          </w:p>
        </w:tc>
      </w:tr>
      <w:tr w14:paraId="7DD8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168ADE32">
            <w:pPr>
              <w:numPr>
                <w:ilvl w:val="0"/>
                <w:numId w:val="3"/>
              </w:numPr>
              <w:adjustRightInd w:val="0"/>
              <w:snapToGrid w:val="0"/>
              <w:ind w:right="120" w:rightChars="50"/>
              <w:jc w:val="left"/>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服务方案要求</w:t>
            </w:r>
          </w:p>
          <w:p w14:paraId="2550006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（一）法律顾问服务</w:t>
            </w:r>
          </w:p>
          <w:p w14:paraId="4D8CF6D5">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1.法律咨询与论证</w:t>
            </w:r>
          </w:p>
          <w:p w14:paraId="05938B51">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（1）为采购人的日常管理、重大决策、行政行为提供法律咨询和法律论证，提出法律意见和建议；</w:t>
            </w:r>
          </w:p>
          <w:p w14:paraId="60E65AE8">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（2）对采购人涉及的疑难、复杂法律问题进行研究分析，提供书面法律意见；</w:t>
            </w:r>
          </w:p>
          <w:p w14:paraId="4E55370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（3）应采购人要求，参与重大决策、重要事项的磋商、谈判，进行法律分析、论证。</w:t>
            </w:r>
          </w:p>
          <w:p w14:paraId="5F421C94">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2.合同及法律文书审查</w:t>
            </w:r>
          </w:p>
          <w:p w14:paraId="348B97CA">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（1）协助草拟、制订、审查或修改采购人对外签订的合同、协议、备忘录及其他法律文书；</w:t>
            </w:r>
          </w:p>
          <w:p w14:paraId="1AEDF3F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（2）对采购人拟发布的规范性文件、公告、声明、函件等进行合法性审查；</w:t>
            </w:r>
          </w:p>
          <w:p w14:paraId="3F32C6A9">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（3）审核采购人所需的律师函、法律意见书、告知书等法律文书。</w:t>
            </w:r>
          </w:p>
          <w:p w14:paraId="0471F02E">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val="en-US" w:eastAsia="zh-CN" w:bidi="zh-CN"/>
              </w:rPr>
              <w:t>3</w:t>
            </w:r>
            <w:r>
              <w:rPr>
                <w:rFonts w:hint="eastAsia" w:ascii="微软雅黑" w:hAnsi="微软雅黑" w:eastAsia="微软雅黑" w:cs="微软雅黑"/>
                <w:sz w:val="24"/>
                <w:szCs w:val="24"/>
                <w:lang w:bidi="zh-CN"/>
              </w:rPr>
              <w:t>.法治宣传与培训</w:t>
            </w:r>
          </w:p>
          <w:p w14:paraId="106B92A6">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（1）每年为采购人提供不少于</w:t>
            </w:r>
            <w:r>
              <w:rPr>
                <w:rFonts w:hint="eastAsia" w:ascii="微软雅黑" w:hAnsi="微软雅黑" w:eastAsia="微软雅黑" w:cs="微软雅黑"/>
                <w:sz w:val="24"/>
                <w:szCs w:val="24"/>
                <w:lang w:val="en-US" w:eastAsia="zh-CN" w:bidi="zh-CN"/>
              </w:rPr>
              <w:t>1</w:t>
            </w:r>
            <w:r>
              <w:rPr>
                <w:rFonts w:hint="eastAsia" w:ascii="微软雅黑" w:hAnsi="微软雅黑" w:eastAsia="微软雅黑" w:cs="微软雅黑"/>
                <w:sz w:val="24"/>
                <w:szCs w:val="24"/>
                <w:lang w:bidi="zh-CN"/>
              </w:rPr>
              <w:t>次法律专题培训或普法讲座；</w:t>
            </w:r>
          </w:p>
          <w:p w14:paraId="19027A7F">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（2）协助采购人开展法治宣传活动，提供义务法律咨询；</w:t>
            </w:r>
          </w:p>
          <w:p w14:paraId="5760394E">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（3）根据采购人需求，编制法律风险防范指引、典型案例汇编等普法资料。</w:t>
            </w:r>
          </w:p>
          <w:p w14:paraId="0DE8D192">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val="en-US" w:eastAsia="zh-CN" w:bidi="zh-CN"/>
              </w:rPr>
              <w:t>4</w:t>
            </w:r>
            <w:r>
              <w:rPr>
                <w:rFonts w:hint="eastAsia" w:ascii="微软雅黑" w:hAnsi="微软雅黑" w:eastAsia="微软雅黑" w:cs="微软雅黑"/>
                <w:sz w:val="24"/>
                <w:szCs w:val="24"/>
                <w:lang w:bidi="zh-CN"/>
              </w:rPr>
              <w:t>.其他法律服务</w:t>
            </w:r>
          </w:p>
          <w:p w14:paraId="5A630D1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（1）协助采购人处理信访、举报、投诉等涉法事务；</w:t>
            </w:r>
          </w:p>
          <w:p w14:paraId="006C4E27">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eastAsia="zh-CN" w:bidi="zh-CN"/>
              </w:rPr>
              <w:t>2</w:t>
            </w:r>
            <w:r>
              <w:rPr>
                <w:rFonts w:hint="eastAsia" w:ascii="微软雅黑" w:hAnsi="微软雅黑" w:eastAsia="微软雅黑" w:cs="微软雅黑"/>
                <w:sz w:val="24"/>
                <w:szCs w:val="24"/>
                <w:lang w:bidi="zh-CN"/>
              </w:rPr>
              <w:t>）办理采购人委托的其他法律事务。</w:t>
            </w:r>
          </w:p>
          <w:p w14:paraId="64E8BF03">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（二）项目人员要求</w:t>
            </w:r>
          </w:p>
          <w:p w14:paraId="44C119C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val="en-US" w:eastAsia="zh-CN" w:bidi="zh-CN"/>
              </w:rPr>
              <w:t>1.</w:t>
            </w:r>
            <w:r>
              <w:rPr>
                <w:rFonts w:hint="eastAsia" w:ascii="微软雅黑" w:hAnsi="微软雅黑" w:eastAsia="微软雅黑" w:cs="微软雅黑"/>
                <w:sz w:val="24"/>
                <w:szCs w:val="24"/>
                <w:lang w:bidi="zh-CN"/>
              </w:rPr>
              <w:t>项目负责人（主办律师）</w:t>
            </w:r>
          </w:p>
          <w:p w14:paraId="03543203">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（1）忠于宪法、遵守法律，政治素质高，拥护党的理论和路线方针政策；</w:t>
            </w:r>
          </w:p>
          <w:p w14:paraId="356EDD1D">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bidi="zh-CN"/>
              </w:rPr>
              <w:t>2</w:t>
            </w:r>
            <w:r>
              <w:rPr>
                <w:rFonts w:hint="eastAsia" w:ascii="微软雅黑" w:hAnsi="微软雅黑" w:eastAsia="微软雅黑" w:cs="微软雅黑"/>
                <w:sz w:val="24"/>
                <w:szCs w:val="24"/>
                <w:lang w:bidi="zh-CN"/>
              </w:rPr>
              <w:t>）具有5年以上执业经验，持有有效的《中华人民共和国律师执业证》；</w:t>
            </w:r>
          </w:p>
          <w:p w14:paraId="77756C2D">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bidi="zh-CN"/>
              </w:rPr>
              <w:t>3</w:t>
            </w:r>
            <w:r>
              <w:rPr>
                <w:rFonts w:hint="eastAsia" w:ascii="微软雅黑" w:hAnsi="微软雅黑" w:eastAsia="微软雅黑" w:cs="微软雅黑"/>
                <w:sz w:val="24"/>
                <w:szCs w:val="24"/>
                <w:lang w:bidi="zh-CN"/>
              </w:rPr>
              <w:t>）具有为行政机关/企事业单位提供法律顾问服务的经验；</w:t>
            </w:r>
          </w:p>
          <w:p w14:paraId="135FEF4E">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bidi="zh-CN"/>
              </w:rPr>
              <w:t>4</w:t>
            </w:r>
            <w:r>
              <w:rPr>
                <w:rFonts w:hint="eastAsia" w:ascii="微软雅黑" w:hAnsi="微软雅黑" w:eastAsia="微软雅黑" w:cs="微软雅黑"/>
                <w:sz w:val="24"/>
                <w:szCs w:val="24"/>
                <w:lang w:bidi="zh-CN"/>
              </w:rPr>
              <w:t>）具有良好的职业道德和社会责任感，未受过刑事处罚、行政处罚或行业处分；</w:t>
            </w:r>
          </w:p>
          <w:p w14:paraId="38D76A9B">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bidi="zh-CN"/>
              </w:rPr>
              <w:t>5</w:t>
            </w:r>
            <w:r>
              <w:rPr>
                <w:rFonts w:hint="eastAsia" w:ascii="微软雅黑" w:hAnsi="微软雅黑" w:eastAsia="微软雅黑" w:cs="微软雅黑"/>
                <w:sz w:val="24"/>
                <w:szCs w:val="24"/>
                <w:lang w:bidi="zh-CN"/>
              </w:rPr>
              <w:t>）具备较强的沟通协调能力、文字表达能力和独立处理复杂法律事务的能力。</w:t>
            </w:r>
          </w:p>
          <w:p w14:paraId="784FEE4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val="en-US" w:bidi="zh-CN"/>
              </w:rPr>
              <w:t>2.</w:t>
            </w:r>
            <w:r>
              <w:rPr>
                <w:rFonts w:hint="eastAsia" w:ascii="微软雅黑" w:hAnsi="微软雅黑" w:eastAsia="微软雅黑" w:cs="微软雅黑"/>
                <w:sz w:val="24"/>
                <w:szCs w:val="24"/>
                <w:lang w:bidi="zh-CN"/>
              </w:rPr>
              <w:t>服务团队成员</w:t>
            </w:r>
          </w:p>
          <w:p w14:paraId="1D22CF2D">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（1）供应商应组建不少于3人的服务团队（含项目负责人），团队成员均应持有有效的律师执业证；</w:t>
            </w:r>
          </w:p>
          <w:p w14:paraId="2249E1D3">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bidi="zh-CN"/>
              </w:rPr>
              <w:t>2</w:t>
            </w:r>
            <w:r>
              <w:rPr>
                <w:rFonts w:hint="eastAsia" w:ascii="微软雅黑" w:hAnsi="微软雅黑" w:eastAsia="微软雅黑" w:cs="微软雅黑"/>
                <w:sz w:val="24"/>
                <w:szCs w:val="24"/>
                <w:lang w:bidi="zh-CN"/>
              </w:rPr>
              <w:t>）团队应配备至少1名具有3年以上执业经验的律师作为协办律师；</w:t>
            </w:r>
          </w:p>
          <w:p w14:paraId="08E413E4">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bidi="zh-CN"/>
              </w:rPr>
              <w:t>3</w:t>
            </w:r>
            <w:r>
              <w:rPr>
                <w:rFonts w:hint="eastAsia" w:ascii="微软雅黑" w:hAnsi="微软雅黑" w:eastAsia="微软雅黑" w:cs="微软雅黑"/>
                <w:sz w:val="24"/>
                <w:szCs w:val="24"/>
                <w:lang w:bidi="zh-CN"/>
              </w:rPr>
              <w:t>）团队成员专业结构应合理，能够满足采购人不同领域的法律服务需求；</w:t>
            </w:r>
          </w:p>
          <w:p w14:paraId="7326B8CD">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bidi="zh-CN"/>
              </w:rPr>
              <w:t>（</w:t>
            </w:r>
            <w:r>
              <w:rPr>
                <w:rFonts w:hint="eastAsia" w:ascii="微软雅黑" w:hAnsi="微软雅黑" w:eastAsia="微软雅黑" w:cs="微软雅黑"/>
                <w:sz w:val="24"/>
                <w:szCs w:val="24"/>
                <w:lang w:val="en-US" w:bidi="zh-CN"/>
              </w:rPr>
              <w:t>4</w:t>
            </w:r>
            <w:r>
              <w:rPr>
                <w:rFonts w:hint="eastAsia" w:ascii="微软雅黑" w:hAnsi="微软雅黑" w:eastAsia="微软雅黑" w:cs="微软雅黑"/>
                <w:sz w:val="24"/>
                <w:szCs w:val="24"/>
                <w:lang w:bidi="zh-CN"/>
              </w:rPr>
              <w:t>）供应商更换服务团队成员应事先取得采购人书面同意。</w:t>
            </w:r>
          </w:p>
        </w:tc>
      </w:tr>
      <w:tr w14:paraId="49BB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024FFF46">
            <w:pPr>
              <w:numPr>
                <w:ilvl w:val="0"/>
                <w:numId w:val="3"/>
              </w:numPr>
              <w:adjustRightInd w:val="0"/>
              <w:snapToGrid w:val="0"/>
              <w:ind w:right="120" w:rightChars="50"/>
              <w:jc w:val="left"/>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服务时间及地点</w:t>
            </w:r>
          </w:p>
          <w:p w14:paraId="2E902EE0">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default" w:ascii="微软雅黑" w:hAnsi="微软雅黑" w:eastAsia="微软雅黑" w:cs="微软雅黑"/>
                <w:sz w:val="24"/>
                <w:szCs w:val="24"/>
                <w:lang w:val="en-US" w:bidi="zh-CN"/>
              </w:rPr>
            </w:pPr>
            <w:r>
              <w:rPr>
                <w:rFonts w:hint="eastAsia" w:ascii="微软雅黑" w:hAnsi="微软雅黑" w:eastAsia="微软雅黑" w:cs="微软雅黑"/>
                <w:sz w:val="24"/>
                <w:szCs w:val="24"/>
                <w:lang w:val="en-US" w:eastAsia="zh-CN" w:bidi="zh-CN"/>
              </w:rPr>
              <w:t>1.</w:t>
            </w:r>
            <w:r>
              <w:rPr>
                <w:rFonts w:hint="eastAsia" w:ascii="微软雅黑" w:hAnsi="微软雅黑" w:eastAsia="微软雅黑" w:cs="微软雅黑"/>
                <w:sz w:val="24"/>
                <w:szCs w:val="24"/>
                <w:lang w:eastAsia="zh-CN" w:bidi="zh-CN"/>
              </w:rPr>
              <w:t>服务期：</w:t>
            </w:r>
            <w:r>
              <w:rPr>
                <w:rFonts w:hint="eastAsia" w:ascii="微软雅黑" w:hAnsi="微软雅黑" w:eastAsia="微软雅黑" w:cs="微软雅黑"/>
                <w:sz w:val="24"/>
                <w:szCs w:val="24"/>
                <w:lang w:val="en-US" w:eastAsia="zh-CN" w:bidi="zh-CN"/>
              </w:rPr>
              <w:t>自合同签订之日起1年</w:t>
            </w:r>
          </w:p>
          <w:p w14:paraId="41BAAA83">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default" w:ascii="微软雅黑" w:hAnsi="微软雅黑" w:eastAsia="微软雅黑" w:cs="微软雅黑"/>
                <w:b/>
                <w:sz w:val="24"/>
                <w:szCs w:val="24"/>
                <w:lang w:val="en-US" w:eastAsia="zh-CN"/>
              </w:rPr>
            </w:pPr>
            <w:r>
              <w:rPr>
                <w:rFonts w:hint="eastAsia" w:ascii="微软雅黑" w:hAnsi="微软雅黑" w:eastAsia="微软雅黑" w:cs="微软雅黑"/>
                <w:sz w:val="24"/>
                <w:szCs w:val="24"/>
                <w:lang w:val="en-US" w:eastAsia="zh-CN" w:bidi="zh-CN"/>
              </w:rPr>
              <w:t>2.服务地点：中山市口腔医院</w:t>
            </w:r>
          </w:p>
        </w:tc>
      </w:tr>
      <w:tr w14:paraId="7806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5C85213D">
            <w:pPr>
              <w:adjustRightInd w:val="0"/>
              <w:snapToGrid w:val="0"/>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四、付款方式及条件：</w:t>
            </w:r>
          </w:p>
          <w:p w14:paraId="4572FB56">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1.付款方式：银行转账结算。</w:t>
            </w:r>
          </w:p>
          <w:p w14:paraId="5ABB37CC">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2.付款时间及条件：</w:t>
            </w:r>
          </w:p>
          <w:p w14:paraId="487B8030">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（1）合同签订后，供方完成本项目全部服务内容，经需方验收合格，供方提供有效发票后30个工作日内，需方一次性支付合同总金额的100%。</w:t>
            </w:r>
          </w:p>
          <w:p w14:paraId="6790A121">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（2）合同的款项以人民币通过银行转账方式结算，供方凭以下资料申请款项支付：</w:t>
            </w:r>
          </w:p>
          <w:p w14:paraId="25DDD6A0">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①合同复印件；②验收单；③对应款项的正规全额发票和对应款项收据。</w:t>
            </w:r>
          </w:p>
          <w:p w14:paraId="0F894166">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bidi="zh-CN"/>
              </w:rPr>
              <w:t>3.成交金额包含了本项目可能涉及的一切费用，包括律师服务费、差旅费、资料费及所需的一切材料费、税费及合同履行过程中不可预见费用等，需方不再支付任何其他费用。</w:t>
            </w:r>
          </w:p>
        </w:tc>
      </w:tr>
      <w:tr w14:paraId="10AC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68B9226">
            <w:pPr>
              <w:numPr>
                <w:ilvl w:val="0"/>
                <w:numId w:val="4"/>
              </w:numPr>
              <w:adjustRightInd w:val="0"/>
              <w:snapToGrid w:val="0"/>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验收</w:t>
            </w:r>
          </w:p>
          <w:p w14:paraId="635CCE6E">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bidi="zh-CN"/>
              </w:rPr>
              <w:t>.验收标准：按国家或地方或行业有关标准及项目采购需求执行。</w:t>
            </w:r>
          </w:p>
          <w:p w14:paraId="5148D462">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2.验收程序：按照中山市口腔医院验收管理流程有关要求进行验收。</w:t>
            </w:r>
          </w:p>
          <w:p w14:paraId="0B6CB254">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3.验收报告：由采购人出具验收报告。</w:t>
            </w:r>
          </w:p>
          <w:p w14:paraId="4D39F8F1">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bidi="zh-CN"/>
              </w:rPr>
              <w:t>4.组织验收主体：本项目的履约验收工作由采购人依法组织实施。</w:t>
            </w:r>
          </w:p>
        </w:tc>
      </w:tr>
      <w:tr w14:paraId="1292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76E7AEEF">
            <w:pPr>
              <w:numPr>
                <w:ilvl w:val="0"/>
                <w:numId w:val="4"/>
              </w:numPr>
              <w:adjustRightInd w:val="0"/>
              <w:snapToGrid w:val="0"/>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售后服务</w:t>
            </w:r>
          </w:p>
          <w:p w14:paraId="63ED0000">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1.响应时效：一般法律咨询应在1个工作日内答复；需出具书面法律意见书的，应在3-5个工作日内完成；紧急事项应按照采购人要求的时限完成。</w:t>
            </w:r>
          </w:p>
          <w:p w14:paraId="10FD50EF">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2.服务方式：采取"线上+线下"相结合的服务模式，包括电话咨询、邮件回复、会议参与</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组织培训</w:t>
            </w:r>
            <w:r>
              <w:rPr>
                <w:rFonts w:hint="eastAsia" w:ascii="微软雅黑" w:hAnsi="微软雅黑" w:eastAsia="微软雅黑" w:cs="微软雅黑"/>
                <w:sz w:val="24"/>
                <w:szCs w:val="24"/>
              </w:rPr>
              <w:t>等方式。</w:t>
            </w:r>
          </w:p>
          <w:p w14:paraId="58A96C65">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sz w:val="24"/>
                <w:szCs w:val="24"/>
              </w:rPr>
              <w:t>.团队服务：对于复杂、重大法律事务，供应商应组织团队律师进行会商，必要时由高级合伙人参与。</w:t>
            </w:r>
          </w:p>
          <w:p w14:paraId="6C61F0A0">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rPr>
              <w:t>.保密要求：供应商及其律师应对在服务过程中知悉的国家秘密、商业秘密、个人隐私及采购人认为不宜公开的信息严格保密，非因法律规定或获得采购人书面同意，不得向任何第三方披露。</w:t>
            </w:r>
          </w:p>
          <w:p w14:paraId="2842EF72">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.利益冲突回避：供应商律师在合同期内，不得为与采购人存在法律上利益冲突的第三方提供不利于采购人的法律服务。</w:t>
            </w:r>
          </w:p>
        </w:tc>
      </w:tr>
      <w:tr w14:paraId="1C10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0915B23">
            <w:pPr>
              <w:adjustRightInd w:val="0"/>
              <w:snapToGrid w:val="0"/>
              <w:jc w:val="left"/>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七、知识产权及保密：</w:t>
            </w:r>
          </w:p>
          <w:p w14:paraId="4BEB2C21">
            <w:pPr>
              <w:keepNext w:val="0"/>
              <w:keepLines w:val="0"/>
              <w:pageBreakBefore w:val="0"/>
              <w:widowControl w:val="0"/>
              <w:kinsoku/>
              <w:wordWrap/>
              <w:overflowPunct/>
              <w:topLinePunct w:val="0"/>
              <w:autoSpaceDE/>
              <w:autoSpaceDN/>
              <w:bidi w:val="0"/>
              <w:adjustRightInd w:val="0"/>
              <w:snapToGrid w:val="0"/>
              <w:ind w:right="0" w:rightChars="0" w:firstLine="480" w:firstLineChars="200"/>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1.成交供应商应保证其向采购人提供的本合同项下的货物或服务以及其中包含的任何一部分不侵犯任何第三方的作品、发明专利、商业秘密等知识产权。如因上述原因，第三方向采购人提起侵权诉讼，成交供应商负责交涉、处理并承担由此引起的全部法律及经济责任。</w:t>
            </w:r>
          </w:p>
          <w:p w14:paraId="6C8DEF14">
            <w:pPr>
              <w:keepNext w:val="0"/>
              <w:keepLines w:val="0"/>
              <w:pageBreakBefore w:val="0"/>
              <w:widowControl w:val="0"/>
              <w:kinsoku/>
              <w:wordWrap/>
              <w:overflowPunct/>
              <w:topLinePunct w:val="0"/>
              <w:autoSpaceDE/>
              <w:autoSpaceDN/>
              <w:bidi w:val="0"/>
              <w:adjustRightInd w:val="0"/>
              <w:snapToGrid w:val="0"/>
              <w:ind w:right="0" w:rightChars="0" w:firstLine="480" w:firstLineChars="200"/>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2.一方对另一方提供的技术资料、样件、图纸及其他与质量、技术、经营相关信息（包括但不限于价格、数量）有保密义务。双方应确保其人员及相关协作方承担保密义务。</w:t>
            </w:r>
          </w:p>
          <w:p w14:paraId="590A863D">
            <w:pPr>
              <w:keepNext w:val="0"/>
              <w:keepLines w:val="0"/>
              <w:pageBreakBefore w:val="0"/>
              <w:widowControl w:val="0"/>
              <w:kinsoku/>
              <w:wordWrap/>
              <w:overflowPunct/>
              <w:topLinePunct w:val="0"/>
              <w:autoSpaceDE/>
              <w:autoSpaceDN/>
              <w:bidi w:val="0"/>
              <w:adjustRightInd w:val="0"/>
              <w:snapToGrid w:val="0"/>
              <w:ind w:right="0" w:rightChars="0" w:firstLine="480" w:firstLineChars="200"/>
              <w:textAlignment w:val="auto"/>
              <w:rPr>
                <w:rFonts w:hint="eastAsia" w:ascii="微软雅黑" w:hAnsi="微软雅黑" w:eastAsia="微软雅黑" w:cs="微软雅黑"/>
                <w:sz w:val="24"/>
                <w:szCs w:val="24"/>
                <w:lang w:bidi="zh-CN"/>
              </w:rPr>
            </w:pPr>
            <w:r>
              <w:rPr>
                <w:rFonts w:hint="eastAsia" w:ascii="微软雅黑" w:hAnsi="微软雅黑" w:eastAsia="微软雅黑" w:cs="微软雅黑"/>
                <w:sz w:val="24"/>
                <w:szCs w:val="24"/>
                <w:lang w:bidi="zh-CN"/>
              </w:rPr>
              <w:t>3.成交供应商保证，成交供应商依据本合同提供的货物或服务以及与之相关的软件和技术资料，成交供应商均已得到有关知识产权的权利人的合法授权，如发生涉及到专利权、著作权、商标权等争议，成交供应商负责交涉、处理，并承担由此引起的对第三人和采购人的全部法律及经济责任。</w:t>
            </w:r>
          </w:p>
          <w:p w14:paraId="45B225CE">
            <w:pPr>
              <w:keepNext w:val="0"/>
              <w:keepLines w:val="0"/>
              <w:pageBreakBefore w:val="0"/>
              <w:widowControl w:val="0"/>
              <w:kinsoku/>
              <w:wordWrap/>
              <w:overflowPunct/>
              <w:topLinePunct w:val="0"/>
              <w:autoSpaceDE/>
              <w:autoSpaceDN/>
              <w:bidi w:val="0"/>
              <w:adjustRightInd w:val="0"/>
              <w:snapToGrid w:val="0"/>
              <w:ind w:right="0" w:rightChars="0"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bidi="zh-CN"/>
              </w:rPr>
              <w:t>4.本合同中涉及知识产权任何条款，在合同期限内及合同终止后持续有效。</w:t>
            </w:r>
          </w:p>
        </w:tc>
      </w:tr>
      <w:tr w14:paraId="3222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2D6673E0">
            <w:pPr>
              <w:adjustRightInd w:val="0"/>
              <w:snapToGrid w:val="0"/>
              <w:ind w:right="120" w:rightChars="50"/>
              <w:jc w:val="left"/>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八、其他：</w:t>
            </w:r>
          </w:p>
          <w:p w14:paraId="4A402DF1">
            <w:pPr>
              <w:keepNext w:val="0"/>
              <w:keepLines w:val="0"/>
              <w:pageBreakBefore w:val="0"/>
              <w:widowControl w:val="0"/>
              <w:kinsoku/>
              <w:wordWrap/>
              <w:overflowPunct/>
              <w:topLinePunct w:val="0"/>
              <w:autoSpaceDE/>
              <w:autoSpaceDN/>
              <w:bidi w:val="0"/>
              <w:adjustRightInd w:val="0"/>
              <w:snapToGrid w:val="0"/>
              <w:ind w:right="0" w:rightChars="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bidi="zh-CN"/>
              </w:rPr>
              <w:t>成交供应商在提供服务全流程过程中，发生的所有人身伤害或财产损失均由成交供应商自行承担全部责任。</w:t>
            </w:r>
          </w:p>
        </w:tc>
      </w:tr>
    </w:tbl>
    <w:p w14:paraId="78DEFCEA">
      <w:pPr>
        <w:spacing w:line="360" w:lineRule="auto"/>
        <w:rPr>
          <w:rFonts w:hint="eastAsia" w:ascii="微软雅黑" w:hAnsi="微软雅黑" w:eastAsia="微软雅黑" w:cs="微软雅黑"/>
          <w:sz w:val="24"/>
          <w:szCs w:val="24"/>
          <w:lang w:eastAsia="zh-CN"/>
        </w:rPr>
        <w:sectPr>
          <w:headerReference r:id="rId7" w:type="default"/>
          <w:footerReference r:id="rId8" w:type="default"/>
          <w:pgSz w:w="11900" w:h="16840"/>
          <w:pgMar w:top="1440" w:right="1800" w:bottom="1440" w:left="1800" w:header="851" w:footer="992" w:gutter="0"/>
          <w:pgNumType w:fmt="decimal"/>
          <w:cols w:space="425" w:num="1"/>
          <w:docGrid w:type="lines" w:linePitch="312" w:charSpace="0"/>
        </w:sectPr>
      </w:pPr>
    </w:p>
    <w:p w14:paraId="33108BB0">
      <w:pPr>
        <w:spacing w:line="360" w:lineRule="auto"/>
        <w:jc w:val="center"/>
        <w:rPr>
          <w:rFonts w:hint="eastAsia" w:ascii="微软雅黑" w:hAnsi="微软雅黑" w:eastAsia="微软雅黑" w:cs="微软雅黑"/>
          <w:i/>
          <w:iCs/>
          <w:color w:val="FF0000"/>
          <w:sz w:val="24"/>
          <w:szCs w:val="24"/>
          <w:highlight w:val="yellow"/>
          <w:lang w:eastAsia="zh-CN"/>
        </w:rPr>
      </w:pPr>
      <w:r>
        <w:rPr>
          <w:rFonts w:hint="eastAsia" w:ascii="微软雅黑" w:hAnsi="微软雅黑" w:eastAsia="微软雅黑" w:cs="微软雅黑"/>
          <w:sz w:val="24"/>
          <w:szCs w:val="24"/>
          <w:lang w:eastAsia="zh-CN"/>
        </w:rPr>
        <w:t>附：综合评分表</w:t>
      </w:r>
    </w:p>
    <w:tbl>
      <w:tblPr>
        <w:tblStyle w:val="12"/>
        <w:tblW w:w="944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62"/>
        <w:gridCol w:w="1836"/>
        <w:gridCol w:w="5750"/>
      </w:tblGrid>
      <w:tr w14:paraId="2CF2A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862" w:type="dxa"/>
            <w:noWrap/>
            <w:vAlign w:val="center"/>
          </w:tcPr>
          <w:p w14:paraId="0D170E1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 w:val="left" w:pos="7720"/>
              </w:tabs>
              <w:spacing w:before="0" w:beforeAutospacing="0" w:after="0" w:afterAutospacing="0" w:line="315" w:lineRule="atLeast"/>
              <w:ind w:right="0"/>
              <w:rPr>
                <w:rFonts w:ascii="宋体" w:hAnsi="宋体" w:cs="宋体"/>
                <w:szCs w:val="21"/>
              </w:rPr>
            </w:pPr>
            <w:r>
              <w:rPr>
                <w:rFonts w:hint="eastAsia" w:ascii="微软雅黑" w:hAnsi="微软雅黑" w:eastAsia="微软雅黑" w:cs="微软雅黑"/>
                <w:sz w:val="24"/>
                <w:szCs w:val="24"/>
                <w:lang w:val="en-US" w:eastAsia="zh-CN"/>
              </w:rPr>
              <w:tab/>
            </w:r>
            <w:r>
              <w:rPr>
                <w:rFonts w:hint="eastAsia" w:ascii="宋体" w:hAnsi="宋体" w:cs="宋体"/>
                <w:szCs w:val="21"/>
              </w:rPr>
              <w:t>评审因素</w:t>
            </w:r>
          </w:p>
        </w:tc>
        <w:tc>
          <w:tcPr>
            <w:tcW w:w="7586" w:type="dxa"/>
            <w:gridSpan w:val="2"/>
            <w:noWrap/>
          </w:tcPr>
          <w:p w14:paraId="22C1D796">
            <w:pPr>
              <w:spacing w:line="360" w:lineRule="auto"/>
              <w:jc w:val="center"/>
              <w:rPr>
                <w:rFonts w:ascii="宋体" w:hAnsi="宋体" w:cs="宋体"/>
                <w:szCs w:val="21"/>
              </w:rPr>
            </w:pPr>
            <w:r>
              <w:rPr>
                <w:rFonts w:hint="eastAsia" w:ascii="宋体" w:hAnsi="宋体" w:cs="宋体"/>
                <w:szCs w:val="21"/>
              </w:rPr>
              <w:t>评审标准</w:t>
            </w:r>
          </w:p>
        </w:tc>
      </w:tr>
      <w:tr w14:paraId="5A4EF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862" w:type="dxa"/>
            <w:noWrap/>
            <w:vAlign w:val="center"/>
          </w:tcPr>
          <w:p w14:paraId="37EEF424">
            <w:pPr>
              <w:spacing w:line="360" w:lineRule="auto"/>
              <w:jc w:val="center"/>
              <w:rPr>
                <w:rFonts w:ascii="宋体" w:hAnsi="宋体" w:cs="宋体"/>
                <w:szCs w:val="21"/>
              </w:rPr>
            </w:pPr>
            <w:r>
              <w:rPr>
                <w:rFonts w:hint="eastAsia" w:ascii="宋体" w:hAnsi="宋体" w:cs="宋体"/>
                <w:szCs w:val="21"/>
              </w:rPr>
              <w:t>分值构成</w:t>
            </w:r>
          </w:p>
        </w:tc>
        <w:tc>
          <w:tcPr>
            <w:tcW w:w="7586" w:type="dxa"/>
            <w:gridSpan w:val="2"/>
            <w:noWrap/>
          </w:tcPr>
          <w:p w14:paraId="0EE8D9D7">
            <w:pPr>
              <w:spacing w:line="360" w:lineRule="auto"/>
              <w:rPr>
                <w:rFonts w:ascii="宋体" w:hAnsi="宋体" w:cs="宋体"/>
                <w:szCs w:val="21"/>
              </w:rPr>
            </w:pPr>
            <w:r>
              <w:rPr>
                <w:rFonts w:hint="eastAsia" w:ascii="宋体" w:hAnsi="宋体" w:cs="宋体"/>
                <w:szCs w:val="21"/>
                <w:lang w:eastAsia="zh-CN"/>
              </w:rPr>
              <w:t>商务技术</w:t>
            </w:r>
            <w:r>
              <w:rPr>
                <w:rFonts w:hint="eastAsia" w:ascii="宋体" w:hAnsi="宋体" w:cs="宋体"/>
                <w:szCs w:val="21"/>
              </w:rPr>
              <w:t>部分</w:t>
            </w:r>
            <w:r>
              <w:rPr>
                <w:rFonts w:hint="eastAsia" w:ascii="宋体" w:hAnsi="宋体" w:cs="宋体"/>
                <w:szCs w:val="21"/>
                <w:lang w:val="en-US" w:eastAsia="zh-CN"/>
              </w:rPr>
              <w:t>80</w:t>
            </w:r>
            <w:r>
              <w:rPr>
                <w:rFonts w:hint="eastAsia" w:ascii="宋体" w:hAnsi="宋体" w:cs="宋体"/>
                <w:szCs w:val="21"/>
              </w:rPr>
              <w:t>.0分</w:t>
            </w:r>
          </w:p>
          <w:p w14:paraId="291C36ED">
            <w:pPr>
              <w:spacing w:line="360" w:lineRule="auto"/>
              <w:rPr>
                <w:rFonts w:ascii="宋体" w:hAnsi="宋体" w:cs="宋体"/>
                <w:szCs w:val="21"/>
              </w:rPr>
            </w:pPr>
            <w:r>
              <w:rPr>
                <w:rFonts w:hint="eastAsia" w:ascii="宋体" w:hAnsi="宋体" w:cs="宋体"/>
                <w:szCs w:val="21"/>
              </w:rPr>
              <w:t>价格得分</w:t>
            </w:r>
            <w:r>
              <w:rPr>
                <w:rFonts w:hint="eastAsia" w:ascii="宋体" w:hAnsi="宋体" w:cs="宋体"/>
                <w:szCs w:val="21"/>
                <w:lang w:val="en-US" w:eastAsia="zh-CN"/>
              </w:rPr>
              <w:t>2</w:t>
            </w:r>
            <w:bookmarkStart w:id="0" w:name="_GoBack"/>
            <w:bookmarkEnd w:id="0"/>
            <w:r>
              <w:rPr>
                <w:rFonts w:hint="eastAsia" w:ascii="宋体" w:hAnsi="宋体" w:cs="宋体"/>
                <w:szCs w:val="21"/>
              </w:rPr>
              <w:t>0.0分</w:t>
            </w:r>
          </w:p>
        </w:tc>
      </w:tr>
      <w:tr w14:paraId="3BEF5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862" w:type="dxa"/>
            <w:vMerge w:val="restart"/>
            <w:noWrap/>
            <w:vAlign w:val="center"/>
          </w:tcPr>
          <w:p w14:paraId="13D6E9C5">
            <w:pPr>
              <w:spacing w:line="360" w:lineRule="auto"/>
              <w:jc w:val="center"/>
              <w:rPr>
                <w:rFonts w:ascii="宋体" w:hAnsi="宋体" w:cs="宋体"/>
                <w:szCs w:val="21"/>
              </w:rPr>
            </w:pPr>
            <w:r>
              <w:rPr>
                <w:rFonts w:hint="eastAsia" w:ascii="宋体" w:hAnsi="宋体" w:cs="宋体"/>
                <w:szCs w:val="21"/>
                <w:lang w:eastAsia="zh-CN"/>
              </w:rPr>
              <w:t>商务</w:t>
            </w:r>
            <w:r>
              <w:rPr>
                <w:rFonts w:hint="eastAsia" w:ascii="宋体" w:hAnsi="宋体" w:cs="宋体"/>
                <w:szCs w:val="21"/>
              </w:rPr>
              <w:t>技术部分</w:t>
            </w:r>
          </w:p>
          <w:p w14:paraId="4E05E5EA">
            <w:pPr>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80</w:t>
            </w:r>
            <w:r>
              <w:rPr>
                <w:rFonts w:hint="eastAsia" w:ascii="宋体" w:hAnsi="宋体" w:cs="宋体"/>
                <w:szCs w:val="21"/>
              </w:rPr>
              <w:t>分）</w:t>
            </w:r>
          </w:p>
        </w:tc>
        <w:tc>
          <w:tcPr>
            <w:tcW w:w="1836" w:type="dxa"/>
            <w:noWrap/>
            <w:vAlign w:val="center"/>
          </w:tcPr>
          <w:p w14:paraId="289F16E8">
            <w:pPr>
              <w:spacing w:line="360" w:lineRule="auto"/>
              <w:jc w:val="center"/>
              <w:rPr>
                <w:rFonts w:ascii="宋体" w:hAnsi="宋体" w:cs="宋体"/>
                <w:szCs w:val="21"/>
              </w:rPr>
            </w:pPr>
            <w:r>
              <w:rPr>
                <w:rFonts w:hint="eastAsia" w:ascii="宋体" w:hAnsi="宋体" w:cs="宋体"/>
                <w:szCs w:val="21"/>
              </w:rPr>
              <w:t>项目实施方案(</w:t>
            </w:r>
            <w:r>
              <w:rPr>
                <w:rFonts w:hint="eastAsia" w:ascii="宋体" w:hAnsi="宋体" w:cs="宋体"/>
                <w:szCs w:val="21"/>
                <w:lang w:val="en-US" w:eastAsia="zh-CN"/>
              </w:rPr>
              <w:t>30</w:t>
            </w:r>
            <w:r>
              <w:rPr>
                <w:rFonts w:hint="eastAsia" w:ascii="宋体" w:hAnsi="宋体" w:cs="宋体"/>
                <w:szCs w:val="21"/>
              </w:rPr>
              <w:t>分)</w:t>
            </w:r>
          </w:p>
        </w:tc>
        <w:tc>
          <w:tcPr>
            <w:tcW w:w="5750" w:type="dxa"/>
            <w:noWrap/>
          </w:tcPr>
          <w:p w14:paraId="07C9E26B">
            <w:pPr>
              <w:spacing w:line="360" w:lineRule="auto"/>
              <w:rPr>
                <w:rFonts w:ascii="宋体" w:hAnsi="宋体" w:cs="宋体"/>
                <w:szCs w:val="21"/>
              </w:rPr>
            </w:pPr>
            <w:r>
              <w:rPr>
                <w:rFonts w:hint="eastAsia" w:ascii="宋体" w:hAnsi="宋体" w:cs="宋体"/>
                <w:szCs w:val="21"/>
              </w:rPr>
              <w:t>根据供应商提供的实施方案（包括但不限于工作实施的各个阶段、各项工作的服务内容、服务目标、服务时间和进度计划等）进行评审：</w:t>
            </w:r>
          </w:p>
          <w:p w14:paraId="412C16AE">
            <w:pPr>
              <w:numPr>
                <w:ilvl w:val="0"/>
                <w:numId w:val="0"/>
              </w:numPr>
              <w:spacing w:line="360" w:lineRule="auto"/>
              <w:rPr>
                <w:rFonts w:ascii="宋体" w:hAnsi="宋体" w:cs="宋体"/>
                <w:szCs w:val="21"/>
              </w:rPr>
            </w:pPr>
            <w:r>
              <w:rPr>
                <w:rFonts w:ascii="宋体" w:hAnsi="宋体" w:eastAsia="宋体" w:cs="宋体"/>
                <w:kern w:val="2"/>
                <w:sz w:val="24"/>
                <w:szCs w:val="21"/>
                <w:lang w:val="en-US" w:eastAsia="zh-CN" w:bidi="ar-SA"/>
              </w:rPr>
              <w:t>1、</w:t>
            </w:r>
            <w:r>
              <w:rPr>
                <w:rFonts w:hint="eastAsia" w:ascii="宋体" w:hAnsi="宋体" w:cs="宋体"/>
                <w:szCs w:val="21"/>
              </w:rPr>
              <w:t>实施方案涵盖上述所有内容，方案详细具体，能细化到采购需求的所有内容且详细具体，科学、实用和合理，完全满足或优于采购需求的，得</w:t>
            </w:r>
            <w:r>
              <w:rPr>
                <w:rFonts w:hint="eastAsia" w:ascii="宋体" w:hAnsi="宋体" w:cs="宋体"/>
                <w:szCs w:val="21"/>
                <w:lang w:val="en-US" w:eastAsia="zh-CN"/>
              </w:rPr>
              <w:t>30</w:t>
            </w:r>
            <w:r>
              <w:rPr>
                <w:rFonts w:hint="eastAsia" w:ascii="宋体" w:hAnsi="宋体" w:cs="宋体"/>
                <w:szCs w:val="21"/>
              </w:rPr>
              <w:t>分；</w:t>
            </w:r>
          </w:p>
          <w:p w14:paraId="53DC7291">
            <w:pPr>
              <w:numPr>
                <w:ilvl w:val="0"/>
                <w:numId w:val="0"/>
              </w:numPr>
              <w:spacing w:line="360" w:lineRule="auto"/>
              <w:rPr>
                <w:rFonts w:ascii="宋体" w:hAnsi="宋体" w:cs="宋体"/>
                <w:szCs w:val="21"/>
              </w:rPr>
            </w:pPr>
            <w:r>
              <w:rPr>
                <w:rFonts w:ascii="宋体" w:hAnsi="宋体" w:eastAsia="宋体" w:cs="宋体"/>
                <w:kern w:val="2"/>
                <w:sz w:val="24"/>
                <w:szCs w:val="21"/>
                <w:lang w:val="en-US" w:eastAsia="zh-CN" w:bidi="ar-SA"/>
              </w:rPr>
              <w:t>2、</w:t>
            </w:r>
            <w:r>
              <w:rPr>
                <w:rFonts w:hint="eastAsia" w:ascii="宋体" w:hAnsi="宋体" w:cs="宋体"/>
                <w:szCs w:val="21"/>
              </w:rPr>
              <w:t>实施方案涵盖上述所有内容，方案较详细，能比较细化到采购需求的所有内容，较科学、比较实用和合理，比较满足采购需求的，得</w:t>
            </w:r>
            <w:r>
              <w:rPr>
                <w:rFonts w:hint="eastAsia" w:ascii="宋体" w:hAnsi="宋体" w:cs="宋体"/>
                <w:szCs w:val="21"/>
                <w:lang w:val="en-US" w:eastAsia="zh-CN"/>
              </w:rPr>
              <w:t>20</w:t>
            </w:r>
            <w:r>
              <w:rPr>
                <w:rFonts w:hint="eastAsia" w:ascii="宋体" w:hAnsi="宋体" w:cs="宋体"/>
                <w:szCs w:val="21"/>
              </w:rPr>
              <w:t>分；</w:t>
            </w:r>
          </w:p>
          <w:p w14:paraId="05C046BB">
            <w:pPr>
              <w:numPr>
                <w:ilvl w:val="0"/>
                <w:numId w:val="0"/>
              </w:numPr>
              <w:spacing w:line="360" w:lineRule="auto"/>
              <w:rPr>
                <w:rFonts w:ascii="宋体" w:hAnsi="宋体" w:cs="宋体"/>
                <w:szCs w:val="21"/>
              </w:rPr>
            </w:pPr>
            <w:r>
              <w:rPr>
                <w:rFonts w:ascii="宋体" w:hAnsi="宋体" w:eastAsia="宋体" w:cs="宋体"/>
                <w:kern w:val="2"/>
                <w:sz w:val="24"/>
                <w:szCs w:val="21"/>
                <w:lang w:val="en-US" w:eastAsia="zh-CN" w:bidi="ar-SA"/>
              </w:rPr>
              <w:t>3、</w:t>
            </w:r>
            <w:r>
              <w:rPr>
                <w:rFonts w:hint="eastAsia" w:ascii="宋体" w:hAnsi="宋体" w:cs="宋体"/>
                <w:szCs w:val="21"/>
              </w:rPr>
              <w:t>实施方案涵盖上述所有内容，方案较完整，基本涵盖采购需求的所有内容，基本合理，基本满足采购需求的，得</w:t>
            </w:r>
            <w:r>
              <w:rPr>
                <w:rFonts w:hint="eastAsia" w:ascii="宋体" w:hAnsi="宋体" w:cs="宋体"/>
                <w:szCs w:val="21"/>
                <w:lang w:val="en-US" w:eastAsia="zh-CN"/>
              </w:rPr>
              <w:t>10</w:t>
            </w:r>
            <w:r>
              <w:rPr>
                <w:rFonts w:hint="eastAsia" w:ascii="宋体" w:hAnsi="宋体" w:cs="宋体"/>
                <w:szCs w:val="21"/>
              </w:rPr>
              <w:t>分；</w:t>
            </w:r>
          </w:p>
          <w:p w14:paraId="412CA7D3">
            <w:pPr>
              <w:numPr>
                <w:ilvl w:val="0"/>
                <w:numId w:val="0"/>
              </w:numPr>
              <w:spacing w:line="360" w:lineRule="auto"/>
              <w:rPr>
                <w:rFonts w:ascii="宋体" w:hAnsi="宋体" w:cs="宋体"/>
                <w:szCs w:val="21"/>
              </w:rPr>
            </w:pPr>
            <w:r>
              <w:rPr>
                <w:rFonts w:ascii="宋体" w:hAnsi="宋体" w:eastAsia="宋体" w:cs="宋体"/>
                <w:kern w:val="2"/>
                <w:sz w:val="24"/>
                <w:szCs w:val="21"/>
                <w:lang w:val="en-US" w:eastAsia="zh-CN" w:bidi="ar-SA"/>
              </w:rPr>
              <w:t>4、</w:t>
            </w:r>
            <w:r>
              <w:rPr>
                <w:rFonts w:hint="eastAsia" w:ascii="宋体" w:hAnsi="宋体" w:cs="宋体"/>
                <w:szCs w:val="21"/>
              </w:rPr>
              <w:t>实施方案未涵盖上述所有内容，方案不够完整，未涵盖采购需求的所有内容，不够合理，不够满足采购需求的，得</w:t>
            </w:r>
            <w:r>
              <w:rPr>
                <w:rFonts w:hint="eastAsia" w:ascii="宋体" w:hAnsi="宋体" w:cs="宋体"/>
                <w:szCs w:val="21"/>
                <w:lang w:val="en-US" w:eastAsia="zh-CN"/>
              </w:rPr>
              <w:t>5</w:t>
            </w:r>
            <w:r>
              <w:rPr>
                <w:rFonts w:hint="eastAsia" w:ascii="宋体" w:hAnsi="宋体" w:cs="宋体"/>
                <w:szCs w:val="21"/>
              </w:rPr>
              <w:t>分。</w:t>
            </w:r>
          </w:p>
          <w:p w14:paraId="675F0CDC">
            <w:pPr>
              <w:spacing w:line="360" w:lineRule="auto"/>
              <w:rPr>
                <w:rFonts w:ascii="宋体" w:hAnsi="宋体" w:cs="宋体"/>
                <w:szCs w:val="21"/>
              </w:rPr>
            </w:pPr>
            <w:r>
              <w:rPr>
                <w:rFonts w:hint="eastAsia" w:ascii="宋体" w:hAnsi="宋体" w:cs="宋体"/>
                <w:szCs w:val="21"/>
              </w:rPr>
              <w:t>注：无相关方案的，不得分。</w:t>
            </w:r>
          </w:p>
        </w:tc>
      </w:tr>
      <w:tr w14:paraId="511F8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862" w:type="dxa"/>
            <w:vMerge w:val="continue"/>
            <w:noWrap/>
            <w:vAlign w:val="center"/>
          </w:tcPr>
          <w:p w14:paraId="24F9837E">
            <w:pPr>
              <w:spacing w:line="360" w:lineRule="auto"/>
              <w:jc w:val="center"/>
              <w:rPr>
                <w:rFonts w:ascii="宋体" w:hAnsi="宋体" w:cs="宋体"/>
                <w:szCs w:val="21"/>
              </w:rPr>
            </w:pPr>
          </w:p>
        </w:tc>
        <w:tc>
          <w:tcPr>
            <w:tcW w:w="1836" w:type="dxa"/>
            <w:noWrap/>
            <w:vAlign w:val="center"/>
          </w:tcPr>
          <w:p w14:paraId="39796DA5">
            <w:pPr>
              <w:spacing w:line="360" w:lineRule="auto"/>
              <w:jc w:val="center"/>
              <w:rPr>
                <w:rFonts w:hint="eastAsia" w:ascii="宋体" w:hAnsi="宋体" w:cs="宋体"/>
                <w:szCs w:val="21"/>
                <w:lang w:val="en-US" w:eastAsia="zh-CN"/>
              </w:rPr>
            </w:pPr>
            <w:r>
              <w:rPr>
                <w:rFonts w:hint="eastAsia" w:ascii="宋体" w:hAnsi="宋体" w:cs="宋体"/>
                <w:szCs w:val="21"/>
                <w:lang w:val="en-US" w:eastAsia="zh-CN"/>
              </w:rPr>
              <w:t>团队配置</w:t>
            </w:r>
          </w:p>
          <w:p w14:paraId="7CB6B730">
            <w:pPr>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10</w:t>
            </w:r>
            <w:r>
              <w:rPr>
                <w:rFonts w:hint="eastAsia" w:ascii="宋体" w:hAnsi="宋体" w:cs="宋体"/>
                <w:szCs w:val="21"/>
              </w:rPr>
              <w:t>分)</w:t>
            </w:r>
          </w:p>
        </w:tc>
        <w:tc>
          <w:tcPr>
            <w:tcW w:w="5750" w:type="dxa"/>
            <w:noWrap/>
          </w:tcPr>
          <w:p w14:paraId="69878A2C">
            <w:pPr>
              <w:spacing w:line="360" w:lineRule="auto"/>
              <w:rPr>
                <w:rFonts w:ascii="宋体" w:hAnsi="宋体" w:cs="宋体"/>
                <w:szCs w:val="21"/>
              </w:rPr>
            </w:pPr>
            <w:r>
              <w:rPr>
                <w:rFonts w:hint="eastAsia" w:ascii="宋体" w:hAnsi="宋体" w:cs="宋体"/>
                <w:szCs w:val="21"/>
              </w:rPr>
              <w:t>项目团队配置、负责人资历、专业匹配度：</w:t>
            </w:r>
          </w:p>
          <w:p w14:paraId="3B3823F1">
            <w:pPr>
              <w:numPr>
                <w:ilvl w:val="0"/>
                <w:numId w:val="0"/>
              </w:numPr>
              <w:spacing w:line="360" w:lineRule="auto"/>
              <w:rPr>
                <w:rFonts w:hint="eastAsia" w:ascii="宋体" w:hAnsi="宋体" w:eastAsia="宋体" w:cs="宋体"/>
                <w:kern w:val="2"/>
                <w:sz w:val="24"/>
                <w:szCs w:val="21"/>
                <w:lang w:val="en-US" w:eastAsia="zh-CN" w:bidi="ar-SA"/>
              </w:rPr>
            </w:pPr>
            <w:r>
              <w:rPr>
                <w:rFonts w:hint="eastAsia" w:ascii="宋体" w:hAnsi="宋体" w:eastAsia="宋体" w:cs="宋体"/>
                <w:kern w:val="2"/>
                <w:sz w:val="24"/>
                <w:szCs w:val="21"/>
                <w:lang w:val="en-US" w:eastAsia="zh-CN" w:bidi="ar-SA"/>
              </w:rPr>
              <w:t>1.项目负责人资历优秀</w:t>
            </w:r>
            <w:r>
              <w:rPr>
                <w:rFonts w:hint="eastAsia" w:ascii="宋体" w:hAnsi="宋体" w:cs="宋体"/>
                <w:kern w:val="2"/>
                <w:sz w:val="24"/>
                <w:szCs w:val="21"/>
                <w:lang w:val="en-US" w:eastAsia="zh-CN" w:bidi="ar-SA"/>
              </w:rPr>
              <w:t>：</w:t>
            </w:r>
            <w:r>
              <w:rPr>
                <w:rFonts w:hint="eastAsia" w:ascii="宋体" w:hAnsi="宋体" w:eastAsia="宋体" w:cs="宋体"/>
                <w:kern w:val="2"/>
                <w:sz w:val="24"/>
                <w:szCs w:val="21"/>
                <w:lang w:val="en-US" w:eastAsia="zh-CN" w:bidi="ar-SA"/>
              </w:rPr>
              <w:t>具有5年以上执业经验，持有有效的《中华人民共和国律师执业证》</w:t>
            </w:r>
            <w:r>
              <w:rPr>
                <w:rFonts w:hint="eastAsia" w:ascii="宋体" w:hAnsi="宋体" w:cs="宋体"/>
                <w:kern w:val="2"/>
                <w:sz w:val="24"/>
                <w:szCs w:val="21"/>
                <w:lang w:val="en-US" w:eastAsia="zh-CN" w:bidi="ar-SA"/>
              </w:rPr>
              <w:t>，</w:t>
            </w:r>
            <w:r>
              <w:rPr>
                <w:rFonts w:hint="eastAsia" w:ascii="宋体" w:hAnsi="宋体" w:eastAsia="宋体" w:cs="宋体"/>
                <w:kern w:val="2"/>
                <w:sz w:val="24"/>
                <w:szCs w:val="21"/>
                <w:lang w:val="en-US" w:eastAsia="zh-CN" w:bidi="ar-SA"/>
              </w:rPr>
              <w:t>得</w:t>
            </w:r>
            <w:r>
              <w:rPr>
                <w:rFonts w:hint="eastAsia" w:ascii="宋体" w:hAnsi="宋体" w:cs="宋体"/>
                <w:kern w:val="2"/>
                <w:sz w:val="24"/>
                <w:szCs w:val="21"/>
                <w:lang w:val="en-US" w:eastAsia="zh-CN" w:bidi="ar-SA"/>
              </w:rPr>
              <w:t>5</w:t>
            </w:r>
            <w:r>
              <w:rPr>
                <w:rFonts w:hint="eastAsia" w:ascii="宋体" w:hAnsi="宋体" w:eastAsia="宋体" w:cs="宋体"/>
                <w:kern w:val="2"/>
                <w:sz w:val="24"/>
                <w:szCs w:val="21"/>
                <w:lang w:val="en-US" w:eastAsia="zh-CN" w:bidi="ar-SA"/>
              </w:rPr>
              <w:t>分；</w:t>
            </w:r>
          </w:p>
          <w:p w14:paraId="7CAE3480">
            <w:pPr>
              <w:numPr>
                <w:ilvl w:val="0"/>
                <w:numId w:val="0"/>
              </w:numPr>
              <w:spacing w:line="360" w:lineRule="auto"/>
              <w:rPr>
                <w:rFonts w:hint="eastAsia" w:ascii="宋体" w:hAnsi="宋体" w:cs="宋体"/>
                <w:szCs w:val="21"/>
              </w:rPr>
            </w:pPr>
            <w:r>
              <w:rPr>
                <w:rFonts w:hint="eastAsia" w:ascii="宋体" w:hAnsi="宋体" w:eastAsia="宋体" w:cs="宋体"/>
                <w:kern w:val="2"/>
                <w:sz w:val="24"/>
                <w:szCs w:val="21"/>
                <w:lang w:val="en-US" w:eastAsia="zh-CN" w:bidi="ar-SA"/>
              </w:rPr>
              <w:t>2.团队配置合理、专业匹配度高</w:t>
            </w:r>
            <w:r>
              <w:rPr>
                <w:rFonts w:hint="eastAsia" w:ascii="宋体" w:hAnsi="宋体" w:cs="宋体"/>
                <w:kern w:val="2"/>
                <w:sz w:val="24"/>
                <w:szCs w:val="21"/>
                <w:lang w:val="en-US" w:eastAsia="zh-CN" w:bidi="ar-SA"/>
              </w:rPr>
              <w:t>：</w:t>
            </w:r>
            <w:r>
              <w:rPr>
                <w:rFonts w:hint="eastAsia" w:ascii="宋体" w:hAnsi="宋体" w:eastAsia="宋体" w:cs="宋体"/>
                <w:kern w:val="2"/>
                <w:sz w:val="24"/>
                <w:szCs w:val="21"/>
                <w:lang w:val="en-US" w:eastAsia="zh-CN" w:bidi="ar-SA"/>
              </w:rPr>
              <w:t>供应商应组建不少于3人的服务团队（含项目负责人），</w:t>
            </w:r>
            <w:r>
              <w:rPr>
                <w:rFonts w:hint="eastAsia" w:ascii="宋体" w:hAnsi="宋体" w:cs="宋体"/>
                <w:kern w:val="2"/>
                <w:sz w:val="24"/>
                <w:szCs w:val="21"/>
                <w:lang w:val="en-US" w:eastAsia="zh-CN" w:bidi="ar-SA"/>
              </w:rPr>
              <w:t>其中</w:t>
            </w:r>
            <w:r>
              <w:rPr>
                <w:rFonts w:hint="eastAsia" w:ascii="宋体" w:hAnsi="宋体" w:eastAsia="宋体" w:cs="宋体"/>
                <w:kern w:val="2"/>
                <w:sz w:val="24"/>
                <w:szCs w:val="21"/>
                <w:lang w:val="en-US" w:eastAsia="zh-CN" w:bidi="ar-SA"/>
              </w:rPr>
              <w:t>至少1名具有3年以上执业经验的律师作为协办律师；团队成员均应持有有效的律师执业证</w:t>
            </w:r>
            <w:r>
              <w:rPr>
                <w:rFonts w:hint="eastAsia" w:ascii="宋体" w:hAnsi="宋体" w:cs="宋体"/>
                <w:kern w:val="2"/>
                <w:sz w:val="24"/>
                <w:szCs w:val="21"/>
                <w:lang w:val="en-US" w:eastAsia="zh-CN" w:bidi="ar-SA"/>
              </w:rPr>
              <w:t>，</w:t>
            </w:r>
            <w:r>
              <w:rPr>
                <w:rFonts w:hint="eastAsia" w:ascii="宋体" w:hAnsi="宋体" w:eastAsia="宋体" w:cs="宋体"/>
                <w:kern w:val="2"/>
                <w:sz w:val="24"/>
                <w:szCs w:val="21"/>
                <w:lang w:val="en-US" w:eastAsia="zh-CN" w:bidi="ar-SA"/>
              </w:rPr>
              <w:t>得</w:t>
            </w:r>
            <w:r>
              <w:rPr>
                <w:rFonts w:hint="eastAsia" w:ascii="宋体" w:hAnsi="宋体" w:cs="宋体"/>
                <w:kern w:val="2"/>
                <w:sz w:val="24"/>
                <w:szCs w:val="21"/>
                <w:lang w:val="en-US" w:eastAsia="zh-CN" w:bidi="ar-SA"/>
              </w:rPr>
              <w:t>5</w:t>
            </w:r>
            <w:r>
              <w:rPr>
                <w:rFonts w:hint="eastAsia" w:ascii="宋体" w:hAnsi="宋体" w:eastAsia="宋体" w:cs="宋体"/>
                <w:kern w:val="2"/>
                <w:sz w:val="24"/>
                <w:szCs w:val="21"/>
                <w:lang w:val="en-US" w:eastAsia="zh-CN" w:bidi="ar-SA"/>
              </w:rPr>
              <w:t>分。</w:t>
            </w:r>
          </w:p>
        </w:tc>
      </w:tr>
      <w:tr w14:paraId="1E3CE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9" w:hRule="atLeast"/>
          <w:jc w:val="center"/>
        </w:trPr>
        <w:tc>
          <w:tcPr>
            <w:tcW w:w="1862" w:type="dxa"/>
            <w:vMerge w:val="continue"/>
            <w:noWrap/>
            <w:vAlign w:val="center"/>
          </w:tcPr>
          <w:p w14:paraId="25D20DF6">
            <w:pPr>
              <w:spacing w:line="360" w:lineRule="auto"/>
              <w:jc w:val="center"/>
              <w:rPr>
                <w:rFonts w:ascii="宋体" w:hAnsi="宋体" w:cs="宋体"/>
                <w:szCs w:val="21"/>
              </w:rPr>
            </w:pPr>
          </w:p>
        </w:tc>
        <w:tc>
          <w:tcPr>
            <w:tcW w:w="1836" w:type="dxa"/>
            <w:noWrap/>
            <w:vAlign w:val="center"/>
          </w:tcPr>
          <w:p w14:paraId="6A428AAD">
            <w:pPr>
              <w:spacing w:line="360" w:lineRule="auto"/>
              <w:jc w:val="center"/>
              <w:rPr>
                <w:rFonts w:ascii="宋体" w:hAnsi="宋体" w:cs="宋体"/>
                <w:szCs w:val="21"/>
              </w:rPr>
            </w:pPr>
            <w:r>
              <w:rPr>
                <w:rFonts w:hint="eastAsia" w:ascii="宋体" w:hAnsi="宋体" w:cs="宋体"/>
                <w:szCs w:val="21"/>
              </w:rPr>
              <w:t>同类项目业绩</w:t>
            </w:r>
          </w:p>
          <w:p w14:paraId="4F5CCC31">
            <w:pPr>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30</w:t>
            </w:r>
            <w:r>
              <w:rPr>
                <w:rFonts w:hint="eastAsia" w:ascii="宋体" w:hAnsi="宋体" w:cs="宋体"/>
                <w:szCs w:val="21"/>
              </w:rPr>
              <w:t>分)</w:t>
            </w:r>
          </w:p>
        </w:tc>
        <w:tc>
          <w:tcPr>
            <w:tcW w:w="5750" w:type="dxa"/>
            <w:noWrap/>
          </w:tcPr>
          <w:p w14:paraId="68EF365D">
            <w:pPr>
              <w:spacing w:line="360" w:lineRule="auto"/>
              <w:rPr>
                <w:rFonts w:ascii="宋体" w:hAnsi="宋体" w:cs="宋体"/>
                <w:szCs w:val="21"/>
              </w:rPr>
            </w:pPr>
            <w:r>
              <w:rPr>
                <w:rFonts w:hint="eastAsia" w:ascii="宋体" w:hAnsi="宋体" w:cs="宋体"/>
                <w:szCs w:val="21"/>
              </w:rPr>
              <w:t>供应商自2023年</w:t>
            </w:r>
            <w:r>
              <w:rPr>
                <w:rFonts w:hint="eastAsia" w:ascii="宋体" w:hAnsi="宋体" w:cs="宋体"/>
                <w:szCs w:val="21"/>
                <w:lang w:val="en-US" w:eastAsia="zh-CN"/>
              </w:rPr>
              <w:t>6</w:t>
            </w:r>
            <w:r>
              <w:rPr>
                <w:rFonts w:hint="eastAsia" w:ascii="宋体" w:hAnsi="宋体" w:cs="宋体"/>
                <w:szCs w:val="21"/>
              </w:rPr>
              <w:t>月1日以来（以合同生效时间为准）承接过的同类项目业绩合同，每提供一个同类项目合同得</w:t>
            </w:r>
            <w:r>
              <w:rPr>
                <w:rFonts w:hint="eastAsia" w:ascii="宋体" w:hAnsi="宋体" w:cs="宋体"/>
                <w:szCs w:val="21"/>
                <w:lang w:val="en-US" w:eastAsia="zh-CN"/>
              </w:rPr>
              <w:t>6</w:t>
            </w:r>
            <w:r>
              <w:rPr>
                <w:rFonts w:hint="eastAsia" w:ascii="宋体" w:hAnsi="宋体" w:cs="宋体"/>
                <w:szCs w:val="21"/>
              </w:rPr>
              <w:t>分；本项最高得</w:t>
            </w:r>
            <w:r>
              <w:rPr>
                <w:rFonts w:hint="eastAsia" w:ascii="宋体" w:hAnsi="宋体" w:cs="宋体"/>
                <w:szCs w:val="21"/>
                <w:lang w:val="en-US" w:eastAsia="zh-CN"/>
              </w:rPr>
              <w:t>30</w:t>
            </w:r>
            <w:r>
              <w:rPr>
                <w:rFonts w:hint="eastAsia" w:ascii="宋体" w:hAnsi="宋体" w:cs="宋体"/>
                <w:szCs w:val="21"/>
              </w:rPr>
              <w:t>分。</w:t>
            </w:r>
          </w:p>
          <w:p w14:paraId="07205AB1">
            <w:pPr>
              <w:spacing w:line="360" w:lineRule="auto"/>
              <w:rPr>
                <w:rFonts w:ascii="宋体" w:hAnsi="宋体" w:cs="宋体"/>
                <w:szCs w:val="21"/>
              </w:rPr>
            </w:pPr>
            <w:r>
              <w:rPr>
                <w:rFonts w:hint="eastAsia" w:ascii="宋体" w:hAnsi="宋体" w:cs="宋体"/>
                <w:szCs w:val="21"/>
              </w:rPr>
              <w:t>注：同一项目不同年份的合同按一份计算，不重复计算分数。同一业主续签不重复计分。须提供合同复印件，并加盖公章。</w:t>
            </w:r>
          </w:p>
        </w:tc>
      </w:tr>
      <w:tr w14:paraId="2744A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862" w:type="dxa"/>
            <w:vMerge w:val="continue"/>
            <w:noWrap/>
            <w:vAlign w:val="center"/>
          </w:tcPr>
          <w:p w14:paraId="6524C7F3">
            <w:pPr>
              <w:spacing w:line="360" w:lineRule="auto"/>
              <w:jc w:val="center"/>
              <w:rPr>
                <w:rFonts w:ascii="宋体" w:hAnsi="宋体" w:cs="宋体"/>
                <w:szCs w:val="21"/>
              </w:rPr>
            </w:pPr>
          </w:p>
        </w:tc>
        <w:tc>
          <w:tcPr>
            <w:tcW w:w="1836" w:type="dxa"/>
            <w:noWrap/>
            <w:vAlign w:val="center"/>
          </w:tcPr>
          <w:p w14:paraId="25C8E696">
            <w:pPr>
              <w:spacing w:line="360" w:lineRule="auto"/>
              <w:jc w:val="center"/>
              <w:rPr>
                <w:rFonts w:ascii="宋体" w:hAnsi="宋体" w:cs="宋体"/>
                <w:szCs w:val="21"/>
              </w:rPr>
            </w:pPr>
            <w:r>
              <w:rPr>
                <w:rFonts w:hint="eastAsia" w:ascii="宋体" w:hAnsi="宋体" w:cs="宋体"/>
                <w:szCs w:val="21"/>
              </w:rPr>
              <w:t>客户服务评价（依据提供的同类项目业绩的业主评价）</w:t>
            </w:r>
          </w:p>
          <w:p w14:paraId="12CBB50E">
            <w:pPr>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10</w:t>
            </w:r>
            <w:r>
              <w:rPr>
                <w:rFonts w:hint="eastAsia" w:ascii="宋体" w:hAnsi="宋体" w:cs="宋体"/>
                <w:szCs w:val="21"/>
              </w:rPr>
              <w:t>分)</w:t>
            </w:r>
          </w:p>
        </w:tc>
        <w:tc>
          <w:tcPr>
            <w:tcW w:w="5750" w:type="dxa"/>
            <w:noWrap/>
          </w:tcPr>
          <w:p w14:paraId="45C69B72">
            <w:pPr>
              <w:spacing w:line="360" w:lineRule="auto"/>
              <w:rPr>
                <w:rFonts w:hint="eastAsia" w:ascii="宋体" w:hAnsi="宋体" w:cs="宋体"/>
                <w:szCs w:val="21"/>
              </w:rPr>
            </w:pPr>
            <w:r>
              <w:rPr>
                <w:rFonts w:hint="eastAsia" w:ascii="宋体" w:hAnsi="宋体" w:cs="宋体"/>
                <w:szCs w:val="21"/>
              </w:rPr>
              <w:t>每提供一份2023年</w:t>
            </w:r>
            <w:r>
              <w:rPr>
                <w:rFonts w:hint="eastAsia" w:ascii="宋体" w:hAnsi="宋体" w:cs="宋体"/>
                <w:szCs w:val="21"/>
                <w:lang w:val="en-US" w:eastAsia="zh-CN"/>
              </w:rPr>
              <w:t>6</w:t>
            </w:r>
            <w:r>
              <w:rPr>
                <w:rFonts w:hint="eastAsia" w:ascii="宋体" w:hAnsi="宋体" w:cs="宋体"/>
                <w:szCs w:val="21"/>
              </w:rPr>
              <w:t>月1日以来提供的同类项目业绩的评价为满意或优或优秀等正面评价的，每个用户评价得</w:t>
            </w:r>
            <w:r>
              <w:rPr>
                <w:rFonts w:hint="eastAsia" w:ascii="宋体" w:hAnsi="宋体" w:cs="宋体"/>
                <w:szCs w:val="21"/>
                <w:lang w:val="en-US" w:eastAsia="zh-CN"/>
              </w:rPr>
              <w:t>2</w:t>
            </w:r>
            <w:r>
              <w:rPr>
                <w:rFonts w:hint="eastAsia" w:ascii="宋体" w:hAnsi="宋体" w:cs="宋体"/>
                <w:szCs w:val="21"/>
              </w:rPr>
              <w:t>分。本项最高得</w:t>
            </w:r>
            <w:r>
              <w:rPr>
                <w:rFonts w:hint="eastAsia" w:ascii="宋体" w:hAnsi="宋体" w:cs="宋体"/>
                <w:szCs w:val="21"/>
                <w:lang w:val="en-US" w:eastAsia="zh-CN"/>
              </w:rPr>
              <w:t>10</w:t>
            </w:r>
            <w:r>
              <w:rPr>
                <w:rFonts w:hint="eastAsia" w:ascii="宋体" w:hAnsi="宋体" w:cs="宋体"/>
                <w:szCs w:val="21"/>
              </w:rPr>
              <w:t>分。</w:t>
            </w:r>
          </w:p>
          <w:p w14:paraId="504301FB">
            <w:pPr>
              <w:spacing w:line="360" w:lineRule="auto"/>
              <w:rPr>
                <w:rFonts w:ascii="宋体" w:hAnsi="宋体" w:cs="宋体"/>
                <w:szCs w:val="21"/>
              </w:rPr>
            </w:pPr>
            <w:r>
              <w:rPr>
                <w:rFonts w:hint="eastAsia" w:ascii="宋体" w:hAnsi="宋体" w:cs="宋体"/>
                <w:szCs w:val="21"/>
              </w:rPr>
              <w:t>注：请供应商严格按照要求提交相关证明材料，否则有可能影响评审结果。提供评价的证明文件复印件，并加盖公章。</w:t>
            </w:r>
          </w:p>
        </w:tc>
      </w:tr>
      <w:tr w14:paraId="21CBB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862" w:type="dxa"/>
            <w:noWrap/>
            <w:vAlign w:val="center"/>
          </w:tcPr>
          <w:p w14:paraId="26C870AB">
            <w:pPr>
              <w:spacing w:line="360" w:lineRule="auto"/>
              <w:jc w:val="center"/>
              <w:rPr>
                <w:rFonts w:hint="eastAsia" w:ascii="宋体" w:hAnsi="宋体" w:cs="宋体"/>
                <w:szCs w:val="21"/>
              </w:rPr>
            </w:pPr>
            <w:r>
              <w:rPr>
                <w:rFonts w:hint="eastAsia" w:ascii="宋体" w:hAnsi="宋体" w:cs="宋体"/>
                <w:szCs w:val="21"/>
              </w:rPr>
              <w:t>价格部分</w:t>
            </w:r>
          </w:p>
          <w:p w14:paraId="001ED6C5">
            <w:pPr>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20</w:t>
            </w:r>
            <w:r>
              <w:rPr>
                <w:rFonts w:hint="eastAsia" w:ascii="宋体" w:hAnsi="宋体" w:cs="宋体"/>
                <w:szCs w:val="21"/>
              </w:rPr>
              <w:t>分）</w:t>
            </w:r>
          </w:p>
        </w:tc>
        <w:tc>
          <w:tcPr>
            <w:tcW w:w="1836" w:type="dxa"/>
            <w:noWrap/>
            <w:vAlign w:val="center"/>
          </w:tcPr>
          <w:p w14:paraId="7D7DD7E8">
            <w:pPr>
              <w:spacing w:line="360" w:lineRule="auto"/>
              <w:jc w:val="center"/>
              <w:rPr>
                <w:rFonts w:hint="eastAsia" w:ascii="宋体" w:hAnsi="宋体" w:cs="宋体"/>
                <w:szCs w:val="21"/>
              </w:rPr>
            </w:pPr>
            <w:r>
              <w:rPr>
                <w:rFonts w:hint="eastAsia" w:ascii="宋体" w:hAnsi="宋体" w:cs="宋体"/>
                <w:szCs w:val="21"/>
              </w:rPr>
              <w:t>报价得分</w:t>
            </w:r>
          </w:p>
          <w:p w14:paraId="113F52E1">
            <w:pPr>
              <w:spacing w:line="360" w:lineRule="auto"/>
              <w:jc w:val="center"/>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20</w:t>
            </w:r>
            <w:r>
              <w:rPr>
                <w:rFonts w:hint="eastAsia" w:ascii="宋体" w:hAnsi="宋体" w:cs="宋体"/>
                <w:szCs w:val="21"/>
              </w:rPr>
              <w:t>分)</w:t>
            </w:r>
          </w:p>
        </w:tc>
        <w:tc>
          <w:tcPr>
            <w:tcW w:w="5750" w:type="dxa"/>
            <w:noWrap/>
          </w:tcPr>
          <w:p w14:paraId="30D08073">
            <w:pPr>
              <w:spacing w:line="360" w:lineRule="auto"/>
              <w:rPr>
                <w:rFonts w:hint="default" w:ascii="宋体" w:hAnsi="宋体" w:eastAsia="宋体" w:cs="宋体"/>
                <w:szCs w:val="21"/>
                <w:lang w:val="en-US" w:eastAsia="zh-CN"/>
              </w:rPr>
            </w:pPr>
            <w:r>
              <w:rPr>
                <w:rFonts w:hint="eastAsia" w:ascii="宋体" w:hAnsi="宋体" w:cs="宋体"/>
                <w:szCs w:val="21"/>
              </w:rPr>
              <w:t>投标报价得分＝（评标基准价/总报价）×价格分值</w:t>
            </w:r>
            <w:r>
              <w:rPr>
                <w:rFonts w:hint="eastAsia" w:ascii="宋体" w:hAnsi="宋体" w:cs="宋体"/>
                <w:szCs w:val="21"/>
                <w:lang w:eastAsia="zh-CN"/>
              </w:rPr>
              <w:t>（</w:t>
            </w:r>
            <w:r>
              <w:rPr>
                <w:rFonts w:hint="eastAsia" w:ascii="宋体" w:hAnsi="宋体" w:cs="宋体"/>
                <w:szCs w:val="21"/>
                <w:lang w:val="en-US" w:eastAsia="zh-CN"/>
              </w:rPr>
              <w:t>20）</w:t>
            </w:r>
          </w:p>
          <w:p w14:paraId="638D75E0">
            <w:pPr>
              <w:spacing w:line="360" w:lineRule="auto"/>
              <w:rPr>
                <w:rFonts w:ascii="宋体" w:hAnsi="宋体" w:cs="宋体"/>
                <w:szCs w:val="21"/>
              </w:rPr>
            </w:pPr>
            <w:r>
              <w:rPr>
                <w:rFonts w:hint="eastAsia" w:ascii="宋体" w:hAnsi="宋体" w:cs="宋体"/>
                <w:szCs w:val="21"/>
              </w:rPr>
              <w:t>【注：满足要求且价格最低的总报价为评标基准价。】最低报价不是</w:t>
            </w:r>
            <w:r>
              <w:rPr>
                <w:rFonts w:hint="eastAsia" w:ascii="宋体" w:hAnsi="宋体" w:cs="宋体"/>
                <w:szCs w:val="21"/>
                <w:lang w:eastAsia="zh-CN"/>
              </w:rPr>
              <w:t>成交</w:t>
            </w:r>
            <w:r>
              <w:rPr>
                <w:rFonts w:hint="eastAsia" w:ascii="宋体" w:hAnsi="宋体" w:cs="宋体"/>
                <w:szCs w:val="21"/>
              </w:rPr>
              <w:t>的唯一依据。</w:t>
            </w:r>
          </w:p>
        </w:tc>
      </w:tr>
    </w:tbl>
    <w:p w14:paraId="4CC0CEB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right="0"/>
        <w:rPr>
          <w:rFonts w:hint="eastAsia" w:ascii="微软雅黑" w:hAnsi="微软雅黑" w:eastAsia="微软雅黑" w:cs="微软雅黑"/>
          <w:i w:val="0"/>
          <w:iCs w:val="0"/>
          <w:caps w:val="0"/>
          <w:color w:val="2B2B2B"/>
          <w:spacing w:val="0"/>
          <w:sz w:val="24"/>
          <w:szCs w:val="24"/>
          <w:shd w:val="clear" w:fill="FFFFFF"/>
          <w:lang w:val="en-US" w:eastAsia="zh-CN"/>
        </w:rPr>
      </w:pPr>
    </w:p>
    <w:sectPr>
      <w:headerReference r:id="rId9" w:type="default"/>
      <w:footerReference r:id="rId10"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E01C8">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D5B3D">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5</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6D5B3D">
                    <w:pPr>
                      <w:pStyle w:val="9"/>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5</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7736">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501F58">
                    <w:pPr>
                      <w:pStyle w:val="9"/>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6</w:t>
                    </w:r>
                    <w: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698C6">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11E83">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23144">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2FF69"/>
    <w:multiLevelType w:val="singleLevel"/>
    <w:tmpl w:val="B0A2FF69"/>
    <w:lvl w:ilvl="0" w:tentative="0">
      <w:start w:val="5"/>
      <w:numFmt w:val="chineseCounting"/>
      <w:suff w:val="nothing"/>
      <w:lvlText w:val="%1、"/>
      <w:lvlJc w:val="left"/>
      <w:rPr>
        <w:rFonts w:hint="eastAsia"/>
      </w:rPr>
    </w:lvl>
  </w:abstractNum>
  <w:abstractNum w:abstractNumId="1">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788911"/>
    <w:multiLevelType w:val="singleLevel"/>
    <w:tmpl w:val="16788911"/>
    <w:lvl w:ilvl="0" w:tentative="0">
      <w:start w:val="1"/>
      <w:numFmt w:val="chineseCounting"/>
      <w:suff w:val="nothing"/>
      <w:lvlText w:val="（%1）"/>
      <w:lvlJc w:val="left"/>
      <w:rPr>
        <w:rFonts w:hint="eastAsia"/>
      </w:rPr>
    </w:lvl>
  </w:abstractNum>
  <w:abstractNum w:abstractNumId="3">
    <w:nsid w:val="67ED5C15"/>
    <w:multiLevelType w:val="singleLevel"/>
    <w:tmpl w:val="67ED5C15"/>
    <w:lvl w:ilvl="0" w:tentative="0">
      <w:start w:val="2"/>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4270380"/>
    <w:rsid w:val="09AE6AAA"/>
    <w:rsid w:val="108C1CE9"/>
    <w:rsid w:val="1EC341D8"/>
    <w:rsid w:val="21AC6893"/>
    <w:rsid w:val="21F71A28"/>
    <w:rsid w:val="275072F5"/>
    <w:rsid w:val="33557238"/>
    <w:rsid w:val="3DBF0FE8"/>
    <w:rsid w:val="43C92826"/>
    <w:rsid w:val="49D22CA3"/>
    <w:rsid w:val="5AB36DD5"/>
    <w:rsid w:val="6044285D"/>
    <w:rsid w:val="60747AAA"/>
    <w:rsid w:val="685C1199"/>
    <w:rsid w:val="71321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5"/>
    <w:link w:val="16"/>
    <w:semiHidden/>
    <w:unhideWhenUsed/>
    <w:qFormat/>
    <w:uiPriority w:val="0"/>
    <w:pPr>
      <w:keepNext/>
      <w:keepLines/>
      <w:spacing w:line="480" w:lineRule="auto"/>
      <w:jc w:val="center"/>
      <w:outlineLvl w:val="1"/>
    </w:pPr>
    <w:rPr>
      <w:rFonts w:ascii="Arial" w:hAnsi="Arial" w:eastAsia="宋体"/>
      <w:b/>
      <w:bCs/>
      <w:sz w:val="32"/>
      <w:szCs w:val="32"/>
    </w:rPr>
  </w:style>
  <w:style w:type="paragraph" w:styleId="6">
    <w:name w:val="heading 3"/>
    <w:basedOn w:val="1"/>
    <w:next w:val="1"/>
    <w:link w:val="17"/>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5">
    <w:name w:val="Normal Indent"/>
    <w:basedOn w:val="1"/>
    <w:qFormat/>
    <w:uiPriority w:val="0"/>
    <w:pPr>
      <w:ind w:firstLine="420" w:firstLineChars="20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标题 2 Char"/>
    <w:link w:val="4"/>
    <w:qFormat/>
    <w:uiPriority w:val="0"/>
    <w:rPr>
      <w:rFonts w:ascii="Arial" w:hAnsi="Arial" w:eastAsia="宋体" w:cs="Times New Roman"/>
      <w:b/>
      <w:bCs/>
      <w:sz w:val="32"/>
      <w:szCs w:val="32"/>
    </w:rPr>
  </w:style>
  <w:style w:type="character" w:customStyle="1" w:styleId="17">
    <w:name w:val="标题 3 Char"/>
    <w:link w:val="6"/>
    <w:qFormat/>
    <w:uiPriority w:val="0"/>
    <w:rPr>
      <w:rFonts w:eastAsia="宋体"/>
      <w:b/>
      <w:sz w:val="28"/>
    </w:rPr>
  </w:style>
  <w:style w:type="paragraph" w:styleId="18">
    <w:name w:val="List Paragraph"/>
    <w:basedOn w:val="1"/>
    <w:autoRedefine/>
    <w:qFormat/>
    <w:uiPriority w:val="34"/>
    <w:pPr>
      <w:ind w:firstLine="420" w:firstLineChars="200"/>
    </w:pPr>
    <w:rPr>
      <w:rFonts w:eastAsia="黑体"/>
      <w:bCs/>
      <w:sz w:val="30"/>
      <w:szCs w:val="30"/>
    </w:rPr>
  </w:style>
  <w:style w:type="character" w:customStyle="1" w:styleId="19">
    <w:name w:val="font51"/>
    <w:basedOn w:val="14"/>
    <w:qFormat/>
    <w:uiPriority w:val="0"/>
    <w:rPr>
      <w:rFonts w:hint="eastAsia" w:ascii="宋体" w:hAnsi="宋体" w:eastAsia="宋体" w:cs="宋体"/>
      <w:color w:val="000000"/>
      <w:sz w:val="24"/>
      <w:szCs w:val="24"/>
      <w:u w:val="none"/>
    </w:rPr>
  </w:style>
  <w:style w:type="character" w:customStyle="1" w:styleId="20">
    <w:name w:val="font6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3185</Words>
  <Characters>3268</Characters>
  <Lines>0</Lines>
  <Paragraphs>0</Paragraphs>
  <TotalTime>129</TotalTime>
  <ScaleCrop>false</ScaleCrop>
  <LinksUpToDate>false</LinksUpToDate>
  <CharactersWithSpaces>3269</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蔓蔓青萝</cp:lastModifiedBy>
  <dcterms:modified xsi:type="dcterms:W3CDTF">2026-07-28T08:14:27Z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0078322C9F994E56A3840D7AAA500C19_11</vt:lpwstr>
  </property>
  <property fmtid="{D5CDD505-2E9C-101B-9397-08002B2CF9AE}" pid="4" name="KSOTemplateDocerSaveRecord">
    <vt:lpwstr>eyJoZGlkIjoiN2M1YWNmZTFiMDBlYjdkNDJjOTA0ZjFkNDA2N2FmZWUiLCJ1c2VySWQiOiI2NDkzNjEyODAifQ==</vt:lpwstr>
  </property>
</Properties>
</file>