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640E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eastAsia="宋体"/>
          <w:sz w:val="32"/>
          <w:szCs w:val="32"/>
          <w:highlight w:val="none"/>
          <w:lang w:val="en-US" w:eastAsia="zh-CN"/>
        </w:rPr>
      </w:pPr>
      <w:r>
        <w:rPr>
          <w:rFonts w:hint="eastAsia" w:eastAsia="宋体"/>
          <w:sz w:val="32"/>
          <w:szCs w:val="32"/>
          <w:highlight w:val="none"/>
          <w:lang w:val="en-US" w:eastAsia="zh-CN"/>
        </w:rPr>
        <w:t>中山市口腔医院2026年律师服务项目</w:t>
      </w:r>
    </w:p>
    <w:p w14:paraId="773431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center"/>
        <w:textAlignment w:val="auto"/>
        <w:rPr>
          <w:rFonts w:hint="eastAsia" w:ascii="宋体" w:hAnsi="宋体"/>
          <w:b/>
          <w:bCs/>
          <w:szCs w:val="21"/>
          <w:highlight w:val="none"/>
        </w:rPr>
      </w:pPr>
      <w:r>
        <w:rPr>
          <w:rFonts w:hint="eastAsia" w:eastAsia="宋体"/>
          <w:sz w:val="32"/>
          <w:szCs w:val="32"/>
          <w:highlight w:val="none"/>
          <w:lang w:val="en-US" w:eastAsia="zh-CN"/>
        </w:rPr>
        <w:t>采购需求</w:t>
      </w:r>
    </w:p>
    <w:p w14:paraId="030A41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2" w:firstLineChars="200"/>
        <w:textAlignment w:val="auto"/>
        <w:rPr>
          <w:rFonts w:ascii="宋体"/>
          <w:b/>
          <w:szCs w:val="21"/>
          <w:highlight w:val="none"/>
        </w:rPr>
      </w:pPr>
      <w:r>
        <w:rPr>
          <w:rFonts w:hint="eastAsia" w:ascii="宋体" w:hAnsi="宋体"/>
          <w:b/>
          <w:bCs/>
          <w:szCs w:val="21"/>
          <w:highlight w:val="none"/>
        </w:rPr>
        <w:t>一、</w:t>
      </w:r>
      <w:r>
        <w:rPr>
          <w:rFonts w:hint="eastAsia" w:ascii="宋体" w:hAnsi="宋体"/>
          <w:b/>
          <w:szCs w:val="21"/>
          <w:highlight w:val="none"/>
        </w:rPr>
        <w:t>项目概况</w:t>
      </w:r>
    </w:p>
    <w:p w14:paraId="553746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textAlignment w:val="auto"/>
        <w:rPr>
          <w:rFonts w:ascii="宋体"/>
          <w:bCs/>
          <w:szCs w:val="21"/>
          <w:highlight w:val="none"/>
        </w:rPr>
      </w:pPr>
      <w:r>
        <w:rPr>
          <w:rFonts w:ascii="宋体" w:hAnsi="宋体"/>
          <w:bCs/>
          <w:szCs w:val="21"/>
          <w:highlight w:val="none"/>
        </w:rPr>
        <w:t>1</w:t>
      </w:r>
      <w:r>
        <w:rPr>
          <w:rFonts w:hint="eastAsia" w:ascii="宋体" w:hAnsi="宋体"/>
          <w:bCs/>
          <w:szCs w:val="21"/>
          <w:highlight w:val="none"/>
          <w:lang w:val="en-US" w:eastAsia="zh-CN"/>
        </w:rPr>
        <w:t>.</w:t>
      </w:r>
      <w:r>
        <w:rPr>
          <w:rFonts w:hint="eastAsia" w:ascii="宋体" w:hAnsi="宋体"/>
          <w:bCs/>
          <w:szCs w:val="21"/>
          <w:highlight w:val="none"/>
        </w:rPr>
        <w:t>项目名称：</w:t>
      </w:r>
      <w:r>
        <w:rPr>
          <w:rFonts w:hint="eastAsia" w:ascii="宋体" w:hAnsi="宋体"/>
          <w:highlight w:val="none"/>
        </w:rPr>
        <w:t>中山市</w:t>
      </w:r>
      <w:r>
        <w:rPr>
          <w:rFonts w:hint="eastAsia" w:ascii="宋体" w:hAnsi="宋体"/>
          <w:highlight w:val="none"/>
          <w:lang w:val="en-US" w:eastAsia="zh-CN"/>
        </w:rPr>
        <w:t>口腔医院2026年</w:t>
      </w:r>
      <w:r>
        <w:rPr>
          <w:rFonts w:hint="eastAsia" w:ascii="宋体" w:hAnsi="宋体" w:cs="仿宋_GB2312"/>
          <w:szCs w:val="21"/>
          <w:highlight w:val="none"/>
        </w:rPr>
        <w:t>律师</w:t>
      </w:r>
      <w:r>
        <w:rPr>
          <w:rFonts w:hint="eastAsia" w:ascii="宋体" w:hAnsi="宋体"/>
          <w:highlight w:val="none"/>
        </w:rPr>
        <w:t>服务项目</w:t>
      </w:r>
    </w:p>
    <w:p w14:paraId="65868A6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textAlignment w:val="auto"/>
        <w:rPr>
          <w:rFonts w:hint="eastAsia" w:ascii="宋体" w:hAnsi="宋体" w:cs="宋体"/>
          <w:kern w:val="0"/>
          <w:szCs w:val="21"/>
          <w:highlight w:val="none"/>
        </w:rPr>
      </w:pPr>
      <w:r>
        <w:rPr>
          <w:rFonts w:ascii="宋体" w:hAnsi="宋体" w:cs="宋体"/>
          <w:color w:val="000000"/>
          <w:kern w:val="0"/>
          <w:szCs w:val="21"/>
          <w:highlight w:val="none"/>
        </w:rPr>
        <w:t>2</w:t>
      </w:r>
      <w:r>
        <w:rPr>
          <w:rFonts w:hint="eastAsia" w:ascii="宋体" w:hAnsi="宋体" w:cs="宋体"/>
          <w:color w:val="000000"/>
          <w:kern w:val="0"/>
          <w:szCs w:val="21"/>
          <w:highlight w:val="none"/>
          <w:lang w:val="en-US" w:eastAsia="zh-CN"/>
        </w:rPr>
        <w:t>.</w:t>
      </w:r>
      <w:r>
        <w:rPr>
          <w:rFonts w:hint="eastAsia" w:ascii="宋体" w:hAnsi="宋体" w:cs="宋体"/>
          <w:color w:val="000000"/>
          <w:kern w:val="0"/>
          <w:szCs w:val="21"/>
          <w:highlight w:val="none"/>
        </w:rPr>
        <w:t>项</w:t>
      </w:r>
      <w:r>
        <w:rPr>
          <w:rFonts w:hint="eastAsia" w:ascii="宋体" w:hAnsi="宋体" w:cs="宋体"/>
          <w:kern w:val="0"/>
          <w:szCs w:val="21"/>
          <w:highlight w:val="none"/>
        </w:rPr>
        <w:t>目内容：</w:t>
      </w:r>
    </w:p>
    <w:p w14:paraId="61D9386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textAlignment w:val="auto"/>
        <w:rPr>
          <w:rFonts w:hint="eastAsia" w:ascii="宋体" w:hAnsi="宋体" w:cs="仿宋_GB2312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kern w:val="0"/>
          <w:szCs w:val="21"/>
          <w:highlight w:val="none"/>
          <w:lang w:val="en-US" w:eastAsia="zh-CN"/>
        </w:rPr>
        <w:t>①根据医院制度，</w:t>
      </w:r>
      <w:r>
        <w:rPr>
          <w:rFonts w:hint="eastAsia" w:ascii="宋体" w:hAnsi="宋体" w:cs="宋体"/>
          <w:kern w:val="0"/>
          <w:szCs w:val="21"/>
          <w:highlight w:val="none"/>
        </w:rPr>
        <w:t>拟</w:t>
      </w:r>
      <w:r>
        <w:rPr>
          <w:rFonts w:hint="eastAsia" w:ascii="宋体" w:hAnsi="宋体" w:cs="仿宋_GB2312"/>
          <w:szCs w:val="21"/>
          <w:highlight w:val="none"/>
        </w:rPr>
        <w:t>委托一家律师事务所，</w:t>
      </w:r>
      <w:r>
        <w:rPr>
          <w:rFonts w:hint="eastAsia" w:ascii="宋体" w:hAnsi="宋体" w:cs="仿宋_GB2312"/>
          <w:szCs w:val="21"/>
          <w:highlight w:val="none"/>
          <w:lang w:val="en-US" w:eastAsia="zh-CN"/>
        </w:rPr>
        <w:t>对我院3万元以上（含3万）经济合同进行审核并出具法律意见书</w:t>
      </w:r>
    </w:p>
    <w:p w14:paraId="7C1AF8F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textAlignment w:val="auto"/>
        <w:rPr>
          <w:rFonts w:ascii="宋体" w:hAnsi="宋体" w:cs="仿宋_GB2312"/>
          <w:color w:val="FF0000"/>
          <w:szCs w:val="21"/>
          <w:highlight w:val="none"/>
        </w:rPr>
      </w:pPr>
      <w:r>
        <w:rPr>
          <w:rFonts w:hint="eastAsia" w:ascii="宋体" w:hAnsi="宋体" w:cs="仿宋_GB2312"/>
          <w:szCs w:val="21"/>
          <w:highlight w:val="none"/>
          <w:lang w:val="en-US" w:eastAsia="zh-CN"/>
        </w:rPr>
        <w:t>②</w:t>
      </w:r>
      <w:r>
        <w:rPr>
          <w:rFonts w:hint="eastAsia" w:ascii="宋体" w:hAnsi="宋体" w:cs="仿宋_GB2312"/>
          <w:szCs w:val="21"/>
          <w:highlight w:val="none"/>
        </w:rPr>
        <w:t>通过相关法律途径，协助医院进行维权清收经医院合理催告仍无法清收的医疗欠款。</w:t>
      </w:r>
    </w:p>
    <w:p w14:paraId="0B4C1715">
      <w:pPr>
        <w:keepNext w:val="0"/>
        <w:keepLines w:val="0"/>
        <w:pageBreakBefore w:val="0"/>
        <w:widowControl/>
        <w:tabs>
          <w:tab w:val="left" w:pos="42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jc w:val="left"/>
        <w:textAlignment w:val="auto"/>
        <w:rPr>
          <w:rFonts w:hint="eastAsia"/>
          <w:b/>
          <w:szCs w:val="21"/>
          <w:highlight w:val="none"/>
        </w:rPr>
      </w:pPr>
      <w:r>
        <w:rPr>
          <w:rFonts w:hint="eastAsia" w:ascii="宋体" w:hAnsi="宋体" w:cs="宋体"/>
          <w:kern w:val="0"/>
          <w:szCs w:val="21"/>
          <w:highlight w:val="none"/>
          <w:lang w:val="en-US" w:eastAsia="zh-CN"/>
        </w:rPr>
        <w:t>3.</w:t>
      </w:r>
      <w:r>
        <w:rPr>
          <w:rFonts w:hint="eastAsia" w:ascii="宋体" w:hAnsi="宋体" w:cs="宋体"/>
          <w:kern w:val="0"/>
          <w:szCs w:val="21"/>
          <w:highlight w:val="none"/>
        </w:rPr>
        <w:t>服务商</w:t>
      </w:r>
      <w:r>
        <w:rPr>
          <w:rFonts w:hint="eastAsia"/>
          <w:szCs w:val="21"/>
          <w:highlight w:val="none"/>
        </w:rPr>
        <w:t>须具备广东省政府采购智慧云平台电子卖场供应商资质。</w:t>
      </w:r>
    </w:p>
    <w:p w14:paraId="35C8BF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2" w:firstLineChars="200"/>
        <w:textAlignment w:val="auto"/>
        <w:rPr>
          <w:rFonts w:hint="eastAsia"/>
          <w:b/>
          <w:szCs w:val="21"/>
          <w:highlight w:val="none"/>
        </w:rPr>
      </w:pPr>
      <w:r>
        <w:rPr>
          <w:rFonts w:hint="eastAsia"/>
          <w:b/>
          <w:szCs w:val="21"/>
          <w:highlight w:val="none"/>
        </w:rPr>
        <w:t>二、服务内容及要求</w:t>
      </w:r>
    </w:p>
    <w:p w14:paraId="1622DE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textAlignment w:val="auto"/>
        <w:rPr>
          <w:rFonts w:hint="default" w:ascii="宋体" w:hAnsi="宋体" w:eastAsia="宋体" w:cs="仿宋_GB2312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仿宋_GB2312"/>
          <w:szCs w:val="21"/>
          <w:highlight w:val="none"/>
          <w:lang w:val="en-US" w:eastAsia="zh-CN"/>
        </w:rPr>
        <w:t>1.为采购人提供3万元以上（含3万）经济合同审核服务</w:t>
      </w:r>
      <w:r>
        <w:rPr>
          <w:rFonts w:hint="eastAsia" w:ascii="宋体" w:hAnsi="宋体" w:cs="仿宋_GB2312"/>
          <w:szCs w:val="21"/>
          <w:highlight w:val="none"/>
          <w:lang w:val="en-US" w:eastAsia="zh-CN"/>
        </w:rPr>
        <w:t>并出具法律意见书。</w:t>
      </w:r>
      <w:r>
        <w:rPr>
          <w:rFonts w:hint="eastAsia" w:ascii="宋体" w:hAnsi="宋体" w:cs="宋体"/>
          <w:kern w:val="0"/>
          <w:szCs w:val="21"/>
          <w:highlight w:val="none"/>
        </w:rPr>
        <w:t>预计服务期内需要审核的合同数量为80份，</w:t>
      </w:r>
      <w:r>
        <w:rPr>
          <w:rFonts w:hint="eastAsia" w:ascii="宋体" w:hAnsi="宋体" w:cs="宋体"/>
          <w:kern w:val="0"/>
          <w:szCs w:val="21"/>
          <w:highlight w:val="none"/>
          <w:lang w:val="en-US" w:eastAsia="zh-CN"/>
        </w:rPr>
        <w:t>具体</w:t>
      </w:r>
      <w:r>
        <w:rPr>
          <w:rFonts w:hint="eastAsia" w:ascii="宋体" w:hAnsi="宋体" w:cs="宋体"/>
          <w:kern w:val="0"/>
          <w:szCs w:val="21"/>
          <w:highlight w:val="none"/>
        </w:rPr>
        <w:t>以实际情况为准。</w:t>
      </w:r>
    </w:p>
    <w:p w14:paraId="533D3C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textAlignment w:val="auto"/>
        <w:rPr>
          <w:rFonts w:hint="eastAsia" w:ascii="宋体" w:hAnsi="宋体" w:cs="仿宋_GB2312"/>
          <w:szCs w:val="21"/>
          <w:highlight w:val="none"/>
          <w:lang w:eastAsia="zh-CN"/>
        </w:rPr>
      </w:pPr>
      <w:r>
        <w:rPr>
          <w:rFonts w:hint="eastAsia" w:ascii="宋体" w:hAnsi="宋体" w:cs="仿宋_GB2312"/>
          <w:szCs w:val="21"/>
          <w:highlight w:val="none"/>
          <w:lang w:val="en-US" w:eastAsia="zh-CN"/>
        </w:rPr>
        <w:t>2</w:t>
      </w:r>
      <w:r>
        <w:rPr>
          <w:rFonts w:hint="eastAsia" w:ascii="宋体" w:hAnsi="宋体" w:eastAsia="宋体" w:cs="仿宋_GB2312"/>
          <w:szCs w:val="21"/>
          <w:highlight w:val="none"/>
          <w:lang w:val="en-US" w:eastAsia="zh-CN"/>
        </w:rPr>
        <w:t>.</w:t>
      </w:r>
      <w:r>
        <w:rPr>
          <w:rFonts w:hint="eastAsia" w:ascii="宋体" w:hAnsi="宋体" w:eastAsia="宋体" w:cs="仿宋_GB2312"/>
          <w:szCs w:val="21"/>
          <w:highlight w:val="none"/>
        </w:rPr>
        <w:t>服务商</w:t>
      </w:r>
      <w:r>
        <w:rPr>
          <w:rFonts w:hint="eastAsia" w:ascii="宋体" w:hAnsi="宋体" w:cs="仿宋_GB2312"/>
          <w:szCs w:val="21"/>
          <w:highlight w:val="none"/>
          <w:lang w:val="en-US" w:eastAsia="zh-CN"/>
        </w:rPr>
        <w:t>需要</w:t>
      </w:r>
      <w:r>
        <w:rPr>
          <w:rFonts w:hint="eastAsia" w:ascii="宋体" w:hAnsi="宋体" w:eastAsia="宋体" w:cs="仿宋_GB2312"/>
          <w:szCs w:val="21"/>
          <w:highlight w:val="none"/>
        </w:rPr>
        <w:t>为采购人提供法律咨询、建议</w:t>
      </w:r>
      <w:r>
        <w:rPr>
          <w:rFonts w:hint="eastAsia" w:ascii="宋体" w:hAnsi="宋体" w:cs="仿宋_GB2312"/>
          <w:szCs w:val="21"/>
          <w:highlight w:val="none"/>
          <w:lang w:eastAsia="zh-CN"/>
        </w:rPr>
        <w:t>。</w:t>
      </w:r>
    </w:p>
    <w:p w14:paraId="3D1FC38D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360" w:lineRule="auto"/>
        <w:ind w:firstLine="420" w:firstLineChars="200"/>
        <w:textAlignment w:val="auto"/>
        <w:rPr>
          <w:rFonts w:hint="default" w:ascii="宋体" w:hAnsi="宋体" w:cs="仿宋_GB2312"/>
          <w:szCs w:val="21"/>
          <w:highlight w:val="none"/>
          <w:lang w:val="en-US" w:eastAsia="zh-CN"/>
        </w:rPr>
      </w:pPr>
      <w:r>
        <w:rPr>
          <w:rFonts w:hint="eastAsia" w:ascii="宋体" w:hAnsi="宋体" w:cs="仿宋_GB2312"/>
          <w:szCs w:val="21"/>
          <w:highlight w:val="none"/>
          <w:lang w:val="en-US" w:eastAsia="zh-CN"/>
        </w:rPr>
        <w:t>3.服务期间需要为采购人组织一次法律知识相关培训。</w:t>
      </w:r>
    </w:p>
    <w:p w14:paraId="09F7C0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textAlignment w:val="auto"/>
        <w:rPr>
          <w:rFonts w:ascii="宋体" w:hAnsi="宋体" w:cs="仿宋_GB2312"/>
          <w:szCs w:val="21"/>
          <w:highlight w:val="none"/>
        </w:rPr>
      </w:pPr>
      <w:r>
        <w:rPr>
          <w:rFonts w:hint="eastAsia" w:ascii="宋体" w:hAnsi="宋体" w:cs="仿宋_GB2312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 w:cs="仿宋_GB2312"/>
          <w:szCs w:val="21"/>
          <w:highlight w:val="none"/>
          <w:lang w:val="en-US" w:eastAsia="zh-CN"/>
        </w:rPr>
        <w:t>.</w:t>
      </w:r>
      <w:r>
        <w:rPr>
          <w:rFonts w:hint="eastAsia" w:ascii="宋体" w:hAnsi="宋体" w:eastAsia="宋体" w:cs="仿宋_GB2312"/>
          <w:szCs w:val="21"/>
          <w:highlight w:val="none"/>
        </w:rPr>
        <w:t>服务商根据具体情况，向欠费</w:t>
      </w:r>
      <w:r>
        <w:rPr>
          <w:rFonts w:hint="eastAsia" w:ascii="宋体" w:hAnsi="宋体" w:cs="仿宋_GB2312"/>
          <w:szCs w:val="21"/>
          <w:highlight w:val="none"/>
        </w:rPr>
        <w:t>人员及连带责任人员发送催收律师函。</w:t>
      </w:r>
    </w:p>
    <w:p w14:paraId="76A73E6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textAlignment w:val="auto"/>
        <w:rPr>
          <w:rFonts w:ascii="宋体" w:hAnsi="宋体" w:cs="仿宋_GB2312"/>
          <w:szCs w:val="21"/>
          <w:highlight w:val="none"/>
        </w:rPr>
      </w:pPr>
      <w:r>
        <w:rPr>
          <w:rFonts w:hint="eastAsia" w:ascii="宋体" w:hAnsi="宋体" w:cs="仿宋_GB2312"/>
          <w:szCs w:val="21"/>
          <w:highlight w:val="none"/>
          <w:lang w:val="en-US" w:eastAsia="zh-CN"/>
        </w:rPr>
        <w:t>5.</w:t>
      </w:r>
      <w:r>
        <w:rPr>
          <w:rFonts w:hint="eastAsia" w:ascii="宋体" w:hAnsi="宋体" w:cs="仿宋_GB2312"/>
          <w:szCs w:val="21"/>
          <w:highlight w:val="none"/>
        </w:rPr>
        <w:t>服务商根据具体情况，对欠费人员及连带责任人员提起诉讼，追索所欠医疗费用。法院诉讼费用须由服务商先行垫付，按</w:t>
      </w:r>
      <w:r>
        <w:rPr>
          <w:rFonts w:hint="eastAsia" w:ascii="宋体" w:hAnsi="宋体" w:cs="仿宋_GB2312"/>
          <w:color w:val="auto"/>
          <w:szCs w:val="21"/>
          <w:highlight w:val="none"/>
        </w:rPr>
        <w:t>季</w:t>
      </w:r>
      <w:r>
        <w:rPr>
          <w:rFonts w:hint="eastAsia" w:ascii="宋体" w:hAnsi="宋体" w:cs="仿宋_GB2312"/>
          <w:color w:val="auto"/>
          <w:szCs w:val="21"/>
          <w:highlight w:val="none"/>
          <w:lang w:eastAsia="zh-CN"/>
        </w:rPr>
        <w:t>度</w:t>
      </w:r>
      <w:r>
        <w:rPr>
          <w:rFonts w:hint="eastAsia" w:ascii="宋体" w:hAnsi="宋体" w:cs="仿宋_GB2312"/>
          <w:szCs w:val="21"/>
          <w:highlight w:val="none"/>
        </w:rPr>
        <w:t>凭诉讼费发票向采购人结算。</w:t>
      </w:r>
    </w:p>
    <w:p w14:paraId="7C1695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textAlignment w:val="auto"/>
        <w:rPr>
          <w:rFonts w:hint="eastAsia" w:ascii="宋体" w:hAnsi="宋体" w:cs="仿宋_GB2312"/>
          <w:szCs w:val="21"/>
          <w:highlight w:val="none"/>
        </w:rPr>
      </w:pPr>
      <w:r>
        <w:rPr>
          <w:rFonts w:hint="eastAsia" w:ascii="宋体" w:hAnsi="宋体" w:cs="仿宋_GB2312"/>
          <w:szCs w:val="21"/>
          <w:highlight w:val="none"/>
          <w:lang w:val="en-US" w:eastAsia="zh-CN"/>
        </w:rPr>
        <w:t>6.</w:t>
      </w:r>
      <w:r>
        <w:rPr>
          <w:rFonts w:hint="eastAsia" w:ascii="宋体" w:hAnsi="宋体" w:cs="仿宋_GB2312"/>
          <w:szCs w:val="21"/>
          <w:highlight w:val="none"/>
        </w:rPr>
        <w:t>追索医疗费用案件，法院工作人员及代理人出差外市、外省进行办案或执行的差旅费、住宿费、交通费等费用由服务商承担。</w:t>
      </w:r>
    </w:p>
    <w:p w14:paraId="11962C99">
      <w:pPr>
        <w:keepNext w:val="0"/>
        <w:keepLines w:val="0"/>
        <w:pageBreakBefore w:val="0"/>
        <w:widowControl/>
        <w:tabs>
          <w:tab w:val="left" w:pos="42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jc w:val="left"/>
        <w:textAlignment w:val="auto"/>
        <w:rPr>
          <w:rFonts w:hint="eastAsia"/>
          <w:sz w:val="21"/>
          <w:highlight w:val="none"/>
          <w:lang w:val="en-US" w:eastAsia="zh-CN"/>
        </w:rPr>
      </w:pPr>
      <w:r>
        <w:rPr>
          <w:rFonts w:hint="eastAsia" w:ascii="宋体" w:hAnsi="宋体" w:cs="宋体"/>
          <w:kern w:val="0"/>
          <w:szCs w:val="21"/>
          <w:highlight w:val="none"/>
          <w:lang w:val="en-US" w:eastAsia="zh-CN"/>
        </w:rPr>
        <w:t>7.项目终止：</w:t>
      </w:r>
      <w:r>
        <w:rPr>
          <w:rFonts w:hint="eastAsia"/>
          <w:sz w:val="21"/>
          <w:highlight w:val="none"/>
          <w:lang w:val="en-US" w:eastAsia="zh-CN"/>
        </w:rPr>
        <w:t>服务期内累计结算金额达到项目预算金额或合同服务期满的，以先到者为准。</w:t>
      </w:r>
    </w:p>
    <w:p w14:paraId="69426E68">
      <w:pPr>
        <w:keepNext w:val="0"/>
        <w:keepLines w:val="0"/>
        <w:pageBreakBefore w:val="0"/>
        <w:widowControl/>
        <w:tabs>
          <w:tab w:val="left" w:pos="42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jc w:val="left"/>
        <w:textAlignment w:val="auto"/>
        <w:rPr>
          <w:rFonts w:hint="eastAsia" w:ascii="宋体" w:hAnsi="宋体" w:eastAsia="宋体"/>
          <w:b/>
          <w:color w:val="000000"/>
          <w:szCs w:val="21"/>
          <w:highlight w:val="none"/>
          <w:lang w:val="en-US" w:eastAsia="zh-CN"/>
        </w:rPr>
      </w:pPr>
      <w:r>
        <w:rPr>
          <w:rFonts w:hint="eastAsia"/>
          <w:sz w:val="21"/>
          <w:highlight w:val="none"/>
          <w:lang w:val="en-US" w:eastAsia="zh-CN"/>
        </w:rPr>
        <w:br w:type="page"/>
      </w:r>
      <w:r>
        <w:rPr>
          <w:rFonts w:hint="eastAsia" w:ascii="宋体" w:hAnsi="宋体"/>
          <w:b/>
          <w:color w:val="000000"/>
          <w:szCs w:val="21"/>
          <w:highlight w:val="none"/>
        </w:rPr>
        <w:t>三、报价</w:t>
      </w:r>
      <w:r>
        <w:rPr>
          <w:rFonts w:hint="eastAsia" w:ascii="宋体" w:hAnsi="宋体"/>
          <w:b/>
          <w:color w:val="000000"/>
          <w:szCs w:val="21"/>
          <w:highlight w:val="none"/>
          <w:lang w:val="en-US" w:eastAsia="zh-CN"/>
        </w:rPr>
        <w:t>表</w:t>
      </w:r>
    </w:p>
    <w:tbl>
      <w:tblPr>
        <w:tblStyle w:val="14"/>
        <w:tblW w:w="1027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3017"/>
        <w:gridCol w:w="2355"/>
        <w:gridCol w:w="1864"/>
        <w:gridCol w:w="2260"/>
      </w:tblGrid>
      <w:tr w14:paraId="15BB44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68" w:hRule="atLeast"/>
          <w:jc w:val="center"/>
        </w:trPr>
        <w:tc>
          <w:tcPr>
            <w:tcW w:w="782" w:type="dxa"/>
            <w:vAlign w:val="center"/>
          </w:tcPr>
          <w:p w14:paraId="7C6A6A62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  <w:highlight w:val="none"/>
              </w:rPr>
              <w:t>序号</w:t>
            </w:r>
          </w:p>
        </w:tc>
        <w:tc>
          <w:tcPr>
            <w:tcW w:w="3017" w:type="dxa"/>
            <w:vAlign w:val="center"/>
          </w:tcPr>
          <w:p w14:paraId="27089F6F">
            <w:pPr>
              <w:widowControl/>
              <w:jc w:val="center"/>
              <w:rPr>
                <w:rFonts w:hint="default" w:ascii="宋体" w:eastAsia="宋体" w:cs="宋体"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服务内容</w:t>
            </w:r>
          </w:p>
        </w:tc>
        <w:tc>
          <w:tcPr>
            <w:tcW w:w="2355" w:type="dxa"/>
            <w:vAlign w:val="center"/>
          </w:tcPr>
          <w:p w14:paraId="38C77EEA">
            <w:pPr>
              <w:widowControl/>
              <w:jc w:val="center"/>
              <w:rPr>
                <w:rFonts w:hint="default" w:ascii="宋体" w:eastAsia="宋体" w:cs="宋体"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服务明细</w:t>
            </w:r>
          </w:p>
        </w:tc>
        <w:tc>
          <w:tcPr>
            <w:tcW w:w="1864" w:type="dxa"/>
            <w:vAlign w:val="center"/>
          </w:tcPr>
          <w:p w14:paraId="6829454E">
            <w:pPr>
              <w:widowControl/>
              <w:jc w:val="center"/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单价</w:t>
            </w:r>
            <w:r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  <w:highlight w:val="none"/>
              </w:rPr>
              <w:t>报价</w:t>
            </w:r>
            <w:r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元/%</w:t>
            </w:r>
            <w:r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）</w:t>
            </w:r>
          </w:p>
        </w:tc>
        <w:tc>
          <w:tcPr>
            <w:tcW w:w="2260" w:type="dxa"/>
            <w:vAlign w:val="center"/>
          </w:tcPr>
          <w:p w14:paraId="7F583EFB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  <w:highlight w:val="none"/>
              </w:rPr>
              <w:t>备注</w:t>
            </w:r>
          </w:p>
        </w:tc>
      </w:tr>
      <w:tr w14:paraId="67BCFC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2" w:type="dxa"/>
            <w:vMerge w:val="restart"/>
            <w:vAlign w:val="center"/>
          </w:tcPr>
          <w:p w14:paraId="08AC1A50">
            <w:pPr>
              <w:widowControl/>
              <w:jc w:val="center"/>
              <w:rPr>
                <w:rFonts w:hint="eastAsia" w:ascii="宋体" w:eastAsia="宋体" w:cs="宋体"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3017" w:type="dxa"/>
            <w:vMerge w:val="restart"/>
            <w:vAlign w:val="center"/>
          </w:tcPr>
          <w:p w14:paraId="16C0C503">
            <w:pPr>
              <w:spacing w:line="360" w:lineRule="exact"/>
              <w:jc w:val="both"/>
              <w:rPr>
                <w:rFonts w:hint="default" w:ascii="宋体" w:hAnsi="宋体" w:eastAsia="宋体" w:cs="仿宋_GB231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仿宋_GB2312"/>
                <w:sz w:val="18"/>
                <w:szCs w:val="18"/>
                <w:highlight w:val="none"/>
                <w:lang w:val="en-US" w:eastAsia="zh-CN"/>
              </w:rPr>
              <w:t>法律顾问服务费</w:t>
            </w:r>
          </w:p>
        </w:tc>
        <w:tc>
          <w:tcPr>
            <w:tcW w:w="2355" w:type="dxa"/>
            <w:vAlign w:val="center"/>
          </w:tcPr>
          <w:p w14:paraId="2AE28299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仿宋_GB2312"/>
                <w:sz w:val="18"/>
                <w:szCs w:val="18"/>
                <w:highlight w:val="none"/>
                <w:lang w:val="en-US" w:eastAsia="zh-CN"/>
              </w:rPr>
              <w:t>合同审核服务费</w:t>
            </w:r>
          </w:p>
        </w:tc>
        <w:tc>
          <w:tcPr>
            <w:tcW w:w="1864" w:type="dxa"/>
            <w:vMerge w:val="restart"/>
            <w:vAlign w:val="center"/>
          </w:tcPr>
          <w:p w14:paraId="34A36AB3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260" w:type="dxa"/>
            <w:vAlign w:val="center"/>
          </w:tcPr>
          <w:p w14:paraId="3942EEB8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/>
              </w:rPr>
              <w:t>预计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合同数量为80份，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/>
              </w:rPr>
              <w:t>具体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以实际情况为准。</w:t>
            </w:r>
          </w:p>
        </w:tc>
      </w:tr>
      <w:tr w14:paraId="33AE34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2" w:type="dxa"/>
            <w:vMerge w:val="continue"/>
            <w:tcBorders/>
            <w:vAlign w:val="center"/>
          </w:tcPr>
          <w:p w14:paraId="0B34F486">
            <w:pPr>
              <w:widowControl/>
              <w:jc w:val="center"/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3017" w:type="dxa"/>
            <w:vMerge w:val="continue"/>
            <w:tcBorders/>
            <w:vAlign w:val="center"/>
          </w:tcPr>
          <w:p w14:paraId="749070E5">
            <w:pPr>
              <w:spacing w:line="360" w:lineRule="exact"/>
              <w:jc w:val="both"/>
              <w:rPr>
                <w:rFonts w:hint="eastAsia" w:ascii="宋体" w:hAnsi="宋体" w:cs="仿宋_GB2312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355" w:type="dxa"/>
            <w:vAlign w:val="center"/>
          </w:tcPr>
          <w:p w14:paraId="451DD85B">
            <w:pPr>
              <w:bidi w:val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szCs w:val="21"/>
                <w:highlight w:val="none"/>
              </w:rPr>
              <w:t>法律咨询、建议</w:t>
            </w:r>
            <w:r>
              <w:rPr>
                <w:rFonts w:hint="eastAsia" w:ascii="宋体" w:hAnsi="宋体" w:cs="仿宋_GB2312"/>
                <w:szCs w:val="21"/>
                <w:highlight w:val="none"/>
                <w:lang w:val="en-US" w:eastAsia="zh-CN"/>
              </w:rPr>
              <w:t>服务</w:t>
            </w:r>
          </w:p>
        </w:tc>
        <w:tc>
          <w:tcPr>
            <w:tcW w:w="1864" w:type="dxa"/>
            <w:vMerge w:val="continue"/>
            <w:tcBorders/>
            <w:vAlign w:val="center"/>
          </w:tcPr>
          <w:p w14:paraId="3D66A649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260" w:type="dxa"/>
            <w:vAlign w:val="center"/>
          </w:tcPr>
          <w:p w14:paraId="3202AE9B">
            <w:pPr>
              <w:widowControl/>
              <w:jc w:val="center"/>
              <w:rPr>
                <w:rFonts w:hint="eastAsia" w:ascii="宋体" w:eastAsia="宋体" w:cs="宋体"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以实际需求为准</w:t>
            </w:r>
          </w:p>
        </w:tc>
      </w:tr>
      <w:tr w14:paraId="3AA842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2" w:type="dxa"/>
            <w:vMerge w:val="continue"/>
            <w:tcBorders/>
            <w:vAlign w:val="center"/>
          </w:tcPr>
          <w:p w14:paraId="6072970D">
            <w:pPr>
              <w:widowControl/>
              <w:jc w:val="center"/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3017" w:type="dxa"/>
            <w:vMerge w:val="continue"/>
            <w:tcBorders/>
            <w:vAlign w:val="center"/>
          </w:tcPr>
          <w:p w14:paraId="0ED77817">
            <w:pPr>
              <w:spacing w:line="360" w:lineRule="exact"/>
              <w:jc w:val="both"/>
              <w:rPr>
                <w:rFonts w:hint="eastAsia" w:ascii="宋体" w:hAnsi="宋体" w:cs="仿宋_GB2312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355" w:type="dxa"/>
            <w:vAlign w:val="center"/>
          </w:tcPr>
          <w:p w14:paraId="7F98E950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组织法律知识相关培训</w:t>
            </w:r>
          </w:p>
        </w:tc>
        <w:tc>
          <w:tcPr>
            <w:tcW w:w="1864" w:type="dxa"/>
            <w:vMerge w:val="continue"/>
            <w:tcBorders/>
            <w:vAlign w:val="center"/>
          </w:tcPr>
          <w:p w14:paraId="7D1F0D68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260" w:type="dxa"/>
            <w:vAlign w:val="center"/>
          </w:tcPr>
          <w:p w14:paraId="6F82920B">
            <w:pPr>
              <w:widowControl/>
              <w:jc w:val="center"/>
              <w:rPr>
                <w:rFonts w:hint="default" w:ascii="宋体" w:eastAsia="宋体" w:cs="宋体"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服务期内组织一次培训</w:t>
            </w:r>
          </w:p>
        </w:tc>
      </w:tr>
      <w:tr w14:paraId="0EFCC4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2" w:type="dxa"/>
            <w:vMerge w:val="restart"/>
            <w:vAlign w:val="center"/>
          </w:tcPr>
          <w:p w14:paraId="0066E703">
            <w:pPr>
              <w:widowControl/>
              <w:jc w:val="center"/>
              <w:rPr>
                <w:rFonts w:hint="eastAsia" w:ascii="宋体" w:eastAsia="宋体" w:cs="宋体"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3017" w:type="dxa"/>
            <w:vMerge w:val="restart"/>
            <w:vAlign w:val="center"/>
          </w:tcPr>
          <w:p w14:paraId="2FF74F8E">
            <w:pPr>
              <w:spacing w:line="360" w:lineRule="exact"/>
              <w:jc w:val="both"/>
              <w:rPr>
                <w:rFonts w:hint="default" w:ascii="宋体" w:hAnsi="宋体" w:eastAsia="宋体" w:cs="仿宋_GB231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仿宋_GB2312"/>
                <w:sz w:val="18"/>
                <w:szCs w:val="18"/>
                <w:highlight w:val="none"/>
                <w:lang w:val="en-US" w:eastAsia="zh-CN"/>
              </w:rPr>
              <w:t>发送催收律师函费用</w:t>
            </w:r>
          </w:p>
        </w:tc>
        <w:tc>
          <w:tcPr>
            <w:tcW w:w="2355" w:type="dxa"/>
            <w:vAlign w:val="center"/>
          </w:tcPr>
          <w:p w14:paraId="05F9AAFB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律师函数量0-50份</w:t>
            </w:r>
          </w:p>
        </w:tc>
        <w:tc>
          <w:tcPr>
            <w:tcW w:w="1864" w:type="dxa"/>
            <w:vAlign w:val="center"/>
          </w:tcPr>
          <w:p w14:paraId="7721EE69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260" w:type="dxa"/>
            <w:vMerge w:val="restart"/>
            <w:vAlign w:val="center"/>
          </w:tcPr>
          <w:p w14:paraId="71BC404E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</w:tr>
      <w:tr w14:paraId="7AFC59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82" w:type="dxa"/>
            <w:vMerge w:val="continue"/>
            <w:vAlign w:val="center"/>
          </w:tcPr>
          <w:p w14:paraId="7EC9BD07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3017" w:type="dxa"/>
            <w:vMerge w:val="continue"/>
            <w:vAlign w:val="center"/>
          </w:tcPr>
          <w:p w14:paraId="20F89771">
            <w:pPr>
              <w:bidi w:val="0"/>
              <w:jc w:val="both"/>
              <w:rPr>
                <w:rFonts w:hint="eastAsia"/>
              </w:rPr>
            </w:pPr>
          </w:p>
        </w:tc>
        <w:tc>
          <w:tcPr>
            <w:tcW w:w="2355" w:type="dxa"/>
            <w:vAlign w:val="center"/>
          </w:tcPr>
          <w:p w14:paraId="61203562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律师函数量50-100份</w:t>
            </w:r>
          </w:p>
        </w:tc>
        <w:tc>
          <w:tcPr>
            <w:tcW w:w="1864" w:type="dxa"/>
            <w:vAlign w:val="center"/>
          </w:tcPr>
          <w:p w14:paraId="0318C90B">
            <w:pPr>
              <w:bidi w:val="0"/>
              <w:jc w:val="center"/>
            </w:pPr>
          </w:p>
        </w:tc>
        <w:tc>
          <w:tcPr>
            <w:tcW w:w="2260" w:type="dxa"/>
            <w:vMerge w:val="continue"/>
            <w:vAlign w:val="center"/>
          </w:tcPr>
          <w:p w14:paraId="7231D1E0">
            <w:pPr>
              <w:bidi w:val="0"/>
              <w:jc w:val="center"/>
            </w:pPr>
          </w:p>
        </w:tc>
      </w:tr>
      <w:tr w14:paraId="2C3666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2" w:type="dxa"/>
            <w:vMerge w:val="continue"/>
            <w:vAlign w:val="center"/>
          </w:tcPr>
          <w:p w14:paraId="2CAB5942">
            <w:pPr>
              <w:widowControl/>
              <w:jc w:val="center"/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3017" w:type="dxa"/>
            <w:vMerge w:val="continue"/>
            <w:vAlign w:val="center"/>
          </w:tcPr>
          <w:p w14:paraId="2C00F9EF">
            <w:pPr>
              <w:spacing w:line="360" w:lineRule="exact"/>
              <w:jc w:val="both"/>
              <w:rPr>
                <w:rFonts w:hint="eastAsia" w:ascii="宋体" w:hAnsi="宋体" w:cs="仿宋_GB2312"/>
                <w:sz w:val="18"/>
                <w:szCs w:val="18"/>
                <w:highlight w:val="none"/>
              </w:rPr>
            </w:pPr>
          </w:p>
        </w:tc>
        <w:tc>
          <w:tcPr>
            <w:tcW w:w="2355" w:type="dxa"/>
            <w:vAlign w:val="center"/>
          </w:tcPr>
          <w:p w14:paraId="5A1B3110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律师函数量100-150份</w:t>
            </w:r>
          </w:p>
        </w:tc>
        <w:tc>
          <w:tcPr>
            <w:tcW w:w="1864" w:type="dxa"/>
            <w:vAlign w:val="center"/>
          </w:tcPr>
          <w:p w14:paraId="1BCFBFAF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260" w:type="dxa"/>
            <w:vMerge w:val="continue"/>
            <w:vAlign w:val="center"/>
          </w:tcPr>
          <w:p w14:paraId="57BB95B6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</w:tr>
      <w:tr w14:paraId="7A418C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2" w:type="dxa"/>
            <w:vMerge w:val="continue"/>
            <w:vAlign w:val="center"/>
          </w:tcPr>
          <w:p w14:paraId="1BBE6C17">
            <w:pPr>
              <w:widowControl/>
              <w:jc w:val="center"/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3017" w:type="dxa"/>
            <w:vMerge w:val="continue"/>
            <w:vAlign w:val="center"/>
          </w:tcPr>
          <w:p w14:paraId="5DF8B35F">
            <w:pPr>
              <w:spacing w:line="360" w:lineRule="exact"/>
              <w:jc w:val="both"/>
              <w:rPr>
                <w:rFonts w:hint="eastAsia" w:ascii="宋体" w:hAnsi="宋体" w:cs="仿宋_GB2312"/>
                <w:sz w:val="18"/>
                <w:szCs w:val="18"/>
                <w:highlight w:val="none"/>
              </w:rPr>
            </w:pPr>
          </w:p>
        </w:tc>
        <w:tc>
          <w:tcPr>
            <w:tcW w:w="2355" w:type="dxa"/>
            <w:vAlign w:val="center"/>
          </w:tcPr>
          <w:p w14:paraId="4F5E4E1D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律师函数量150-200份</w:t>
            </w:r>
          </w:p>
        </w:tc>
        <w:tc>
          <w:tcPr>
            <w:tcW w:w="1864" w:type="dxa"/>
            <w:vAlign w:val="center"/>
          </w:tcPr>
          <w:p w14:paraId="0D8FDE64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260" w:type="dxa"/>
            <w:vMerge w:val="continue"/>
            <w:vAlign w:val="center"/>
          </w:tcPr>
          <w:p w14:paraId="6AAF0C59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</w:tr>
      <w:tr w14:paraId="59E028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782" w:type="dxa"/>
            <w:vMerge w:val="restart"/>
            <w:vAlign w:val="center"/>
          </w:tcPr>
          <w:p w14:paraId="4551AD71">
            <w:pPr>
              <w:widowControl/>
              <w:jc w:val="center"/>
              <w:rPr>
                <w:rFonts w:hint="eastAsia" w:ascii="宋体" w:eastAsia="宋体" w:cs="宋体"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3</w:t>
            </w:r>
          </w:p>
        </w:tc>
        <w:tc>
          <w:tcPr>
            <w:tcW w:w="3017" w:type="dxa"/>
            <w:vMerge w:val="restart"/>
            <w:vAlign w:val="center"/>
          </w:tcPr>
          <w:p w14:paraId="28E29CAD">
            <w:pPr>
              <w:widowControl/>
              <w:jc w:val="both"/>
              <w:rPr>
                <w:rFonts w:hint="default" w:ascii="宋体" w:hAnsi="宋体" w:eastAsia="宋体" w:cs="仿宋_GB231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仿宋_GB2312"/>
                <w:sz w:val="18"/>
                <w:szCs w:val="18"/>
                <w:highlight w:val="none"/>
                <w:lang w:val="en-US" w:eastAsia="zh-CN"/>
              </w:rPr>
              <w:t>欠费案件诉讼费用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28719F3B">
            <w:pPr>
              <w:spacing w:line="360" w:lineRule="exact"/>
              <w:jc w:val="both"/>
              <w:rPr>
                <w:rFonts w:ascii="宋体" w:hAnsi="宋体" w:eastAsia="宋体" w:cs="仿宋_GB2312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仿宋_GB2312"/>
                <w:sz w:val="18"/>
                <w:szCs w:val="18"/>
                <w:highlight w:val="none"/>
              </w:rPr>
              <w:t>在中山市内办结(含审判或执行)的自费案件</w:t>
            </w:r>
          </w:p>
        </w:tc>
        <w:tc>
          <w:tcPr>
            <w:tcW w:w="1864" w:type="dxa"/>
            <w:vAlign w:val="center"/>
          </w:tcPr>
          <w:p w14:paraId="4534C97F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260" w:type="dxa"/>
            <w:vMerge w:val="restart"/>
            <w:vAlign w:val="center"/>
          </w:tcPr>
          <w:p w14:paraId="3F050C41">
            <w:pPr>
              <w:widowControl/>
              <w:numPr>
                <w:ilvl w:val="0"/>
                <w:numId w:val="0"/>
              </w:numPr>
              <w:rPr>
                <w:rFonts w:hint="default" w:ascii="宋体" w:eastAsia="宋体" w:cs="宋体"/>
                <w:bCs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Calibri" w:eastAsia="宋体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1、</w:t>
            </w:r>
            <w:r>
              <w:rPr>
                <w:rFonts w:hint="eastAsia" w:ascii="宋体" w:hAnsi="宋体" w:cs="仿宋_GB2312"/>
                <w:szCs w:val="21"/>
                <w:highlight w:val="none"/>
              </w:rPr>
              <w:t>服务费用</w:t>
            </w:r>
            <w:r>
              <w:rPr>
                <w:rFonts w:hint="eastAsia" w:ascii="宋体" w:hAnsi="宋体" w:cs="仿宋_GB2312"/>
                <w:szCs w:val="21"/>
                <w:highlight w:val="none"/>
                <w:lang w:val="en-US" w:eastAsia="zh-CN"/>
              </w:rPr>
              <w:t>按照</w:t>
            </w:r>
            <w:r>
              <w:rPr>
                <w:rFonts w:hint="eastAsia" w:ascii="宋体" w:hAnsi="宋体" w:cs="仿宋_GB2312"/>
                <w:szCs w:val="21"/>
                <w:highlight w:val="none"/>
              </w:rPr>
              <w:t>实际收回金额的</w:t>
            </w:r>
            <w:r>
              <w:rPr>
                <w:rFonts w:hint="eastAsia" w:ascii="宋体" w:hAnsi="宋体" w:cs="仿宋_GB2312"/>
                <w:szCs w:val="21"/>
                <w:highlight w:val="none"/>
                <w:lang w:val="en-US" w:eastAsia="zh-CN"/>
              </w:rPr>
              <w:t>比例报价</w:t>
            </w:r>
          </w:p>
          <w:p w14:paraId="25C49490">
            <w:pPr>
              <w:widowControl/>
              <w:numPr>
                <w:ilvl w:val="0"/>
                <w:numId w:val="0"/>
              </w:numPr>
              <w:rPr>
                <w:rFonts w:hint="eastAsia" w:ascii="宋体" w:cs="宋体"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Calibri" w:eastAsia="宋体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2、</w:t>
            </w:r>
            <w:r>
              <w:rPr>
                <w:rFonts w:hint="eastAsia" w:ascii="宋体" w:cs="宋体"/>
                <w:bCs/>
                <w:color w:val="000000"/>
                <w:kern w:val="0"/>
                <w:szCs w:val="21"/>
                <w:highlight w:val="none"/>
              </w:rPr>
              <w:t>按</w:t>
            </w:r>
            <w:r>
              <w:rPr>
                <w:rFonts w:hint="eastAsia" w:ascii="宋体" w:cs="宋体"/>
                <w:bCs/>
                <w:color w:val="000000"/>
                <w:kern w:val="0"/>
                <w:szCs w:val="21"/>
                <w:highlight w:val="none"/>
                <w:lang w:val="en-US" w:eastAsia="zh-CN"/>
              </w:rPr>
              <w:t>实际情况，</w:t>
            </w:r>
            <w:r>
              <w:rPr>
                <w:rFonts w:hint="eastAsia" w:ascii="宋体" w:cs="宋体"/>
                <w:bCs/>
                <w:color w:val="000000"/>
                <w:kern w:val="0"/>
                <w:szCs w:val="21"/>
                <w:highlight w:val="none"/>
              </w:rPr>
              <w:t>中山市内执行的案件比例较高。</w:t>
            </w:r>
          </w:p>
          <w:p w14:paraId="34FBDF44">
            <w:pPr>
              <w:pStyle w:val="2"/>
              <w:numPr>
                <w:ilvl w:val="0"/>
                <w:numId w:val="0"/>
              </w:numPr>
            </w:pPr>
          </w:p>
          <w:p w14:paraId="5C3ED192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</w:tr>
      <w:tr w14:paraId="7CC1BA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82" w:type="dxa"/>
            <w:vMerge w:val="continue"/>
            <w:vAlign w:val="center"/>
          </w:tcPr>
          <w:p w14:paraId="485BB88B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3017" w:type="dxa"/>
            <w:vMerge w:val="continue"/>
            <w:vAlign w:val="center"/>
          </w:tcPr>
          <w:p w14:paraId="1E8D8A8B">
            <w:pPr>
              <w:widowControl/>
              <w:jc w:val="both"/>
              <w:rPr>
                <w:rFonts w:ascii="宋体" w:cs="宋体"/>
                <w:bCs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355" w:type="dxa"/>
            <w:shd w:val="clear" w:color="auto" w:fill="auto"/>
            <w:vAlign w:val="center"/>
          </w:tcPr>
          <w:p w14:paraId="27D6792A">
            <w:pPr>
              <w:widowControl/>
              <w:jc w:val="both"/>
              <w:rPr>
                <w:rFonts w:ascii="宋体" w:hAnsi="Calibri" w:eastAsia="宋体" w:cs="宋体"/>
                <w:bCs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仿宋_GB2312"/>
                <w:sz w:val="18"/>
                <w:szCs w:val="18"/>
                <w:highlight w:val="none"/>
              </w:rPr>
              <w:t>广东省内中山市外办结(含审判或执行)的自费案件</w:t>
            </w:r>
          </w:p>
        </w:tc>
        <w:tc>
          <w:tcPr>
            <w:tcW w:w="1864" w:type="dxa"/>
            <w:vAlign w:val="center"/>
          </w:tcPr>
          <w:p w14:paraId="0C73E478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260" w:type="dxa"/>
            <w:vMerge w:val="continue"/>
            <w:vAlign w:val="center"/>
          </w:tcPr>
          <w:p w14:paraId="447DF354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</w:tr>
      <w:tr w14:paraId="524AF3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82" w:type="dxa"/>
            <w:vMerge w:val="continue"/>
            <w:vAlign w:val="center"/>
          </w:tcPr>
          <w:p w14:paraId="67DD9727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3017" w:type="dxa"/>
            <w:vMerge w:val="continue"/>
            <w:vAlign w:val="center"/>
          </w:tcPr>
          <w:p w14:paraId="403210E7">
            <w:pPr>
              <w:widowControl/>
              <w:jc w:val="both"/>
              <w:rPr>
                <w:rFonts w:ascii="宋体" w:cs="宋体"/>
                <w:bCs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355" w:type="dxa"/>
            <w:shd w:val="clear" w:color="auto" w:fill="auto"/>
            <w:vAlign w:val="center"/>
          </w:tcPr>
          <w:p w14:paraId="787DCBAA">
            <w:pPr>
              <w:widowControl/>
              <w:jc w:val="both"/>
              <w:rPr>
                <w:rFonts w:ascii="宋体" w:hAnsi="Calibri" w:eastAsia="宋体" w:cs="宋体"/>
                <w:bCs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仿宋_GB2312"/>
                <w:sz w:val="18"/>
                <w:szCs w:val="18"/>
                <w:highlight w:val="none"/>
              </w:rPr>
              <w:t>广东省外办结(含审判或执行)的自费案件</w:t>
            </w:r>
          </w:p>
        </w:tc>
        <w:tc>
          <w:tcPr>
            <w:tcW w:w="1864" w:type="dxa"/>
            <w:vAlign w:val="center"/>
          </w:tcPr>
          <w:p w14:paraId="55EE1920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260" w:type="dxa"/>
            <w:vMerge w:val="continue"/>
            <w:vAlign w:val="center"/>
          </w:tcPr>
          <w:p w14:paraId="39113513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</w:tr>
      <w:tr w14:paraId="66B2E5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82" w:type="dxa"/>
            <w:vMerge w:val="continue"/>
            <w:vAlign w:val="center"/>
          </w:tcPr>
          <w:p w14:paraId="78032345">
            <w:pPr>
              <w:widowControl/>
              <w:jc w:val="center"/>
              <w:rPr>
                <w:rFonts w:hint="eastAsia" w:ascii="宋体" w:eastAsia="宋体" w:cs="宋体"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3017" w:type="dxa"/>
            <w:vMerge w:val="continue"/>
            <w:vAlign w:val="center"/>
          </w:tcPr>
          <w:p w14:paraId="7880132B">
            <w:pPr>
              <w:widowControl/>
              <w:jc w:val="both"/>
              <w:rPr>
                <w:rFonts w:hint="eastAsia" w:ascii="宋体" w:hAnsi="宋体" w:eastAsia="宋体" w:cs="仿宋_GB2312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2355" w:type="dxa"/>
            <w:shd w:val="clear" w:color="auto" w:fill="auto"/>
            <w:vAlign w:val="center"/>
          </w:tcPr>
          <w:p w14:paraId="54033703">
            <w:pPr>
              <w:widowControl/>
              <w:jc w:val="both"/>
              <w:rPr>
                <w:rFonts w:hint="eastAsia" w:ascii="宋体" w:hAnsi="宋体" w:eastAsia="宋体" w:cs="仿宋_GB2312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仿宋_GB2312"/>
                <w:sz w:val="18"/>
                <w:szCs w:val="18"/>
                <w:highlight w:val="none"/>
                <w:lang w:eastAsia="zh-CN"/>
              </w:rPr>
              <w:t>案件保底服务费</w:t>
            </w:r>
          </w:p>
        </w:tc>
        <w:tc>
          <w:tcPr>
            <w:tcW w:w="1864" w:type="dxa"/>
            <w:vAlign w:val="center"/>
          </w:tcPr>
          <w:p w14:paraId="3C56D9E4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260" w:type="dxa"/>
            <w:vMerge w:val="continue"/>
            <w:vAlign w:val="center"/>
          </w:tcPr>
          <w:p w14:paraId="76D96FA9">
            <w:pPr>
              <w:widowControl/>
              <w:jc w:val="center"/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</w:tr>
    </w:tbl>
    <w:p w14:paraId="4BA1CFC9">
      <w:pPr>
        <w:widowControl/>
        <w:rPr>
          <w:rFonts w:ascii="宋体" w:cs="宋体"/>
          <w:bCs/>
          <w:color w:val="000000"/>
          <w:kern w:val="0"/>
          <w:szCs w:val="21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E384B"/>
    <w:rsid w:val="00012E8F"/>
    <w:rsid w:val="00025C66"/>
    <w:rsid w:val="00031220"/>
    <w:rsid w:val="0003131D"/>
    <w:rsid w:val="00031681"/>
    <w:rsid w:val="00041A9B"/>
    <w:rsid w:val="00055BB0"/>
    <w:rsid w:val="00063F48"/>
    <w:rsid w:val="00065209"/>
    <w:rsid w:val="000656F0"/>
    <w:rsid w:val="00084535"/>
    <w:rsid w:val="00086879"/>
    <w:rsid w:val="00090F08"/>
    <w:rsid w:val="000A075D"/>
    <w:rsid w:val="000A2CDB"/>
    <w:rsid w:val="000B0AF5"/>
    <w:rsid w:val="000B1B61"/>
    <w:rsid w:val="000B5AEC"/>
    <w:rsid w:val="000B733E"/>
    <w:rsid w:val="000B7596"/>
    <w:rsid w:val="000C1A22"/>
    <w:rsid w:val="000C296F"/>
    <w:rsid w:val="000C3976"/>
    <w:rsid w:val="000C44AD"/>
    <w:rsid w:val="000C6632"/>
    <w:rsid w:val="000D0B76"/>
    <w:rsid w:val="000D7FC1"/>
    <w:rsid w:val="000E2ED3"/>
    <w:rsid w:val="000F2381"/>
    <w:rsid w:val="0011735E"/>
    <w:rsid w:val="001317B0"/>
    <w:rsid w:val="0013287F"/>
    <w:rsid w:val="001417C1"/>
    <w:rsid w:val="00161782"/>
    <w:rsid w:val="001670C9"/>
    <w:rsid w:val="00173427"/>
    <w:rsid w:val="001771EA"/>
    <w:rsid w:val="001802D0"/>
    <w:rsid w:val="0018440E"/>
    <w:rsid w:val="001A67F5"/>
    <w:rsid w:val="001B0007"/>
    <w:rsid w:val="001B392C"/>
    <w:rsid w:val="001D1CAB"/>
    <w:rsid w:val="001D7351"/>
    <w:rsid w:val="001E2CA0"/>
    <w:rsid w:val="001E32BE"/>
    <w:rsid w:val="001E62EF"/>
    <w:rsid w:val="001F0D7C"/>
    <w:rsid w:val="001F5C19"/>
    <w:rsid w:val="001F63E1"/>
    <w:rsid w:val="001F7C64"/>
    <w:rsid w:val="001F7CCB"/>
    <w:rsid w:val="0020158A"/>
    <w:rsid w:val="00211407"/>
    <w:rsid w:val="00216B47"/>
    <w:rsid w:val="00216C46"/>
    <w:rsid w:val="00223CFE"/>
    <w:rsid w:val="00225831"/>
    <w:rsid w:val="00231BC5"/>
    <w:rsid w:val="002336B8"/>
    <w:rsid w:val="00236BCD"/>
    <w:rsid w:val="002403A4"/>
    <w:rsid w:val="002403DE"/>
    <w:rsid w:val="0024152D"/>
    <w:rsid w:val="00256617"/>
    <w:rsid w:val="002656D7"/>
    <w:rsid w:val="00267BB1"/>
    <w:rsid w:val="00271584"/>
    <w:rsid w:val="00271DE1"/>
    <w:rsid w:val="002722E1"/>
    <w:rsid w:val="00273CC1"/>
    <w:rsid w:val="002852D0"/>
    <w:rsid w:val="002919AD"/>
    <w:rsid w:val="002945AA"/>
    <w:rsid w:val="00297A6F"/>
    <w:rsid w:val="002A233D"/>
    <w:rsid w:val="002B3293"/>
    <w:rsid w:val="002B7B52"/>
    <w:rsid w:val="002C0A7E"/>
    <w:rsid w:val="002C1A9D"/>
    <w:rsid w:val="002E14A6"/>
    <w:rsid w:val="002F47EE"/>
    <w:rsid w:val="002F663A"/>
    <w:rsid w:val="002F6FF8"/>
    <w:rsid w:val="00300D04"/>
    <w:rsid w:val="0030102E"/>
    <w:rsid w:val="003013A1"/>
    <w:rsid w:val="0030175E"/>
    <w:rsid w:val="00302215"/>
    <w:rsid w:val="00303417"/>
    <w:rsid w:val="00316432"/>
    <w:rsid w:val="003171F2"/>
    <w:rsid w:val="0032265C"/>
    <w:rsid w:val="00324217"/>
    <w:rsid w:val="00327E6E"/>
    <w:rsid w:val="00332B2A"/>
    <w:rsid w:val="00334C99"/>
    <w:rsid w:val="003415F0"/>
    <w:rsid w:val="00341E54"/>
    <w:rsid w:val="00342127"/>
    <w:rsid w:val="00347319"/>
    <w:rsid w:val="003675A4"/>
    <w:rsid w:val="00372058"/>
    <w:rsid w:val="003727E8"/>
    <w:rsid w:val="00374C0B"/>
    <w:rsid w:val="00375002"/>
    <w:rsid w:val="0037509F"/>
    <w:rsid w:val="00377A77"/>
    <w:rsid w:val="00382F6B"/>
    <w:rsid w:val="00385202"/>
    <w:rsid w:val="00385569"/>
    <w:rsid w:val="00391406"/>
    <w:rsid w:val="003974BF"/>
    <w:rsid w:val="003A1421"/>
    <w:rsid w:val="003B152A"/>
    <w:rsid w:val="003B233E"/>
    <w:rsid w:val="003B3C9F"/>
    <w:rsid w:val="003B3E9D"/>
    <w:rsid w:val="003B73C1"/>
    <w:rsid w:val="003C3049"/>
    <w:rsid w:val="003C3562"/>
    <w:rsid w:val="003C734F"/>
    <w:rsid w:val="003D1941"/>
    <w:rsid w:val="003D7FB4"/>
    <w:rsid w:val="003E755C"/>
    <w:rsid w:val="003F296C"/>
    <w:rsid w:val="00400646"/>
    <w:rsid w:val="004047DA"/>
    <w:rsid w:val="00405F10"/>
    <w:rsid w:val="00411234"/>
    <w:rsid w:val="00414EF7"/>
    <w:rsid w:val="0041509F"/>
    <w:rsid w:val="00431CAB"/>
    <w:rsid w:val="00434FEE"/>
    <w:rsid w:val="00441AE4"/>
    <w:rsid w:val="00443012"/>
    <w:rsid w:val="0044319A"/>
    <w:rsid w:val="004537DB"/>
    <w:rsid w:val="00453E9F"/>
    <w:rsid w:val="004551CA"/>
    <w:rsid w:val="00455EFF"/>
    <w:rsid w:val="00460841"/>
    <w:rsid w:val="00464646"/>
    <w:rsid w:val="00465AC6"/>
    <w:rsid w:val="00475B01"/>
    <w:rsid w:val="004771BA"/>
    <w:rsid w:val="00481EE0"/>
    <w:rsid w:val="00482FAC"/>
    <w:rsid w:val="004952F9"/>
    <w:rsid w:val="00496B3E"/>
    <w:rsid w:val="00496CA3"/>
    <w:rsid w:val="004A077E"/>
    <w:rsid w:val="004A4D88"/>
    <w:rsid w:val="004A5F17"/>
    <w:rsid w:val="004A7685"/>
    <w:rsid w:val="004B1614"/>
    <w:rsid w:val="004B3772"/>
    <w:rsid w:val="004C0D19"/>
    <w:rsid w:val="004C2582"/>
    <w:rsid w:val="004D0604"/>
    <w:rsid w:val="004D2090"/>
    <w:rsid w:val="004D6B9C"/>
    <w:rsid w:val="004E27E9"/>
    <w:rsid w:val="004E6067"/>
    <w:rsid w:val="00511413"/>
    <w:rsid w:val="0051212A"/>
    <w:rsid w:val="00512817"/>
    <w:rsid w:val="00512E07"/>
    <w:rsid w:val="00515C38"/>
    <w:rsid w:val="00516B09"/>
    <w:rsid w:val="00522C66"/>
    <w:rsid w:val="00526037"/>
    <w:rsid w:val="00526C22"/>
    <w:rsid w:val="0053106E"/>
    <w:rsid w:val="00535756"/>
    <w:rsid w:val="00541A8B"/>
    <w:rsid w:val="0054218F"/>
    <w:rsid w:val="005426E6"/>
    <w:rsid w:val="005547F1"/>
    <w:rsid w:val="00554A7C"/>
    <w:rsid w:val="0055660F"/>
    <w:rsid w:val="00557841"/>
    <w:rsid w:val="00557AF4"/>
    <w:rsid w:val="00560B74"/>
    <w:rsid w:val="005640EB"/>
    <w:rsid w:val="005655F7"/>
    <w:rsid w:val="00571530"/>
    <w:rsid w:val="00574364"/>
    <w:rsid w:val="005834CE"/>
    <w:rsid w:val="0058370D"/>
    <w:rsid w:val="00590133"/>
    <w:rsid w:val="00590B17"/>
    <w:rsid w:val="00596D2B"/>
    <w:rsid w:val="005A1F7A"/>
    <w:rsid w:val="005A3017"/>
    <w:rsid w:val="005A5AEC"/>
    <w:rsid w:val="005A74F3"/>
    <w:rsid w:val="005C4129"/>
    <w:rsid w:val="005C6397"/>
    <w:rsid w:val="005D6032"/>
    <w:rsid w:val="005E358C"/>
    <w:rsid w:val="005E722B"/>
    <w:rsid w:val="005F175A"/>
    <w:rsid w:val="005F284E"/>
    <w:rsid w:val="006001ED"/>
    <w:rsid w:val="00602992"/>
    <w:rsid w:val="00603D99"/>
    <w:rsid w:val="006112E3"/>
    <w:rsid w:val="0061174C"/>
    <w:rsid w:val="0062419F"/>
    <w:rsid w:val="00625AA1"/>
    <w:rsid w:val="00644395"/>
    <w:rsid w:val="00646BA6"/>
    <w:rsid w:val="00651E40"/>
    <w:rsid w:val="00653F01"/>
    <w:rsid w:val="00670DE0"/>
    <w:rsid w:val="00676949"/>
    <w:rsid w:val="006804F5"/>
    <w:rsid w:val="00681F42"/>
    <w:rsid w:val="0068524D"/>
    <w:rsid w:val="0069037A"/>
    <w:rsid w:val="006946A9"/>
    <w:rsid w:val="006959BB"/>
    <w:rsid w:val="0069700D"/>
    <w:rsid w:val="00697BFB"/>
    <w:rsid w:val="006A37A7"/>
    <w:rsid w:val="006A3F2E"/>
    <w:rsid w:val="006C09BC"/>
    <w:rsid w:val="006C36D4"/>
    <w:rsid w:val="006C395A"/>
    <w:rsid w:val="006C4B2E"/>
    <w:rsid w:val="006C60BB"/>
    <w:rsid w:val="006C7AC3"/>
    <w:rsid w:val="006E0CBB"/>
    <w:rsid w:val="006E384B"/>
    <w:rsid w:val="006E4823"/>
    <w:rsid w:val="006E5D64"/>
    <w:rsid w:val="006F6C20"/>
    <w:rsid w:val="006F7DA9"/>
    <w:rsid w:val="007109D8"/>
    <w:rsid w:val="00722429"/>
    <w:rsid w:val="0072375C"/>
    <w:rsid w:val="00723BD5"/>
    <w:rsid w:val="0073541F"/>
    <w:rsid w:val="007471F8"/>
    <w:rsid w:val="007553E3"/>
    <w:rsid w:val="00757474"/>
    <w:rsid w:val="00761A5E"/>
    <w:rsid w:val="00770808"/>
    <w:rsid w:val="0078608E"/>
    <w:rsid w:val="00790422"/>
    <w:rsid w:val="00792278"/>
    <w:rsid w:val="0079495A"/>
    <w:rsid w:val="00797889"/>
    <w:rsid w:val="007A1EDA"/>
    <w:rsid w:val="007A3B38"/>
    <w:rsid w:val="007A4C9C"/>
    <w:rsid w:val="007B013F"/>
    <w:rsid w:val="007B33A7"/>
    <w:rsid w:val="007C1F19"/>
    <w:rsid w:val="007D19AB"/>
    <w:rsid w:val="008027AE"/>
    <w:rsid w:val="00806DEF"/>
    <w:rsid w:val="00806FA0"/>
    <w:rsid w:val="00811D7A"/>
    <w:rsid w:val="0082713B"/>
    <w:rsid w:val="00832C0E"/>
    <w:rsid w:val="008355E9"/>
    <w:rsid w:val="00836A9A"/>
    <w:rsid w:val="0084028C"/>
    <w:rsid w:val="008420AC"/>
    <w:rsid w:val="00842A59"/>
    <w:rsid w:val="008454C3"/>
    <w:rsid w:val="00850320"/>
    <w:rsid w:val="008605E2"/>
    <w:rsid w:val="00862B90"/>
    <w:rsid w:val="00866831"/>
    <w:rsid w:val="00867370"/>
    <w:rsid w:val="0087575A"/>
    <w:rsid w:val="00890450"/>
    <w:rsid w:val="00893A4F"/>
    <w:rsid w:val="00894532"/>
    <w:rsid w:val="00896D3B"/>
    <w:rsid w:val="008A4B79"/>
    <w:rsid w:val="008B08B3"/>
    <w:rsid w:val="008B4550"/>
    <w:rsid w:val="008C0334"/>
    <w:rsid w:val="008C4B6B"/>
    <w:rsid w:val="008E589B"/>
    <w:rsid w:val="008F20C0"/>
    <w:rsid w:val="00902BD0"/>
    <w:rsid w:val="009122E4"/>
    <w:rsid w:val="009123EC"/>
    <w:rsid w:val="00921CDF"/>
    <w:rsid w:val="009229B8"/>
    <w:rsid w:val="00926CB2"/>
    <w:rsid w:val="00932552"/>
    <w:rsid w:val="0093721A"/>
    <w:rsid w:val="00941B7F"/>
    <w:rsid w:val="00961ED6"/>
    <w:rsid w:val="00966D13"/>
    <w:rsid w:val="009708C2"/>
    <w:rsid w:val="00980009"/>
    <w:rsid w:val="0098368E"/>
    <w:rsid w:val="0098457D"/>
    <w:rsid w:val="0098731F"/>
    <w:rsid w:val="00994317"/>
    <w:rsid w:val="009A09B6"/>
    <w:rsid w:val="009A6108"/>
    <w:rsid w:val="009B451C"/>
    <w:rsid w:val="009B51D1"/>
    <w:rsid w:val="009B5C9A"/>
    <w:rsid w:val="009C30A4"/>
    <w:rsid w:val="009C6FAF"/>
    <w:rsid w:val="009D064B"/>
    <w:rsid w:val="009D28F8"/>
    <w:rsid w:val="009D6678"/>
    <w:rsid w:val="009D6F9A"/>
    <w:rsid w:val="009E16D3"/>
    <w:rsid w:val="009E5A5A"/>
    <w:rsid w:val="009F6DE0"/>
    <w:rsid w:val="00A0581E"/>
    <w:rsid w:val="00A100E0"/>
    <w:rsid w:val="00A202FC"/>
    <w:rsid w:val="00A2065B"/>
    <w:rsid w:val="00A2662F"/>
    <w:rsid w:val="00A462CB"/>
    <w:rsid w:val="00A5096E"/>
    <w:rsid w:val="00A53DA4"/>
    <w:rsid w:val="00A60E61"/>
    <w:rsid w:val="00A6460D"/>
    <w:rsid w:val="00A7147A"/>
    <w:rsid w:val="00A72437"/>
    <w:rsid w:val="00A7304A"/>
    <w:rsid w:val="00A74D6A"/>
    <w:rsid w:val="00A77801"/>
    <w:rsid w:val="00A80CC3"/>
    <w:rsid w:val="00A81895"/>
    <w:rsid w:val="00A82B22"/>
    <w:rsid w:val="00A87FA5"/>
    <w:rsid w:val="00A95CA4"/>
    <w:rsid w:val="00A97A2D"/>
    <w:rsid w:val="00AA185A"/>
    <w:rsid w:val="00AA38D9"/>
    <w:rsid w:val="00AA6240"/>
    <w:rsid w:val="00AB6419"/>
    <w:rsid w:val="00AB73C2"/>
    <w:rsid w:val="00AC3AD7"/>
    <w:rsid w:val="00AC49CF"/>
    <w:rsid w:val="00AC5A17"/>
    <w:rsid w:val="00AC5C90"/>
    <w:rsid w:val="00AC7811"/>
    <w:rsid w:val="00AE5DFB"/>
    <w:rsid w:val="00AE7E7E"/>
    <w:rsid w:val="00AF1D55"/>
    <w:rsid w:val="00AF3893"/>
    <w:rsid w:val="00AF6F7F"/>
    <w:rsid w:val="00AF7AA3"/>
    <w:rsid w:val="00AF7B80"/>
    <w:rsid w:val="00AF7BA8"/>
    <w:rsid w:val="00B02B8A"/>
    <w:rsid w:val="00B0627B"/>
    <w:rsid w:val="00B074D2"/>
    <w:rsid w:val="00B231F3"/>
    <w:rsid w:val="00B23432"/>
    <w:rsid w:val="00B26120"/>
    <w:rsid w:val="00B273A8"/>
    <w:rsid w:val="00B27FDA"/>
    <w:rsid w:val="00B37750"/>
    <w:rsid w:val="00B53EAA"/>
    <w:rsid w:val="00B5707D"/>
    <w:rsid w:val="00B63772"/>
    <w:rsid w:val="00B700ED"/>
    <w:rsid w:val="00B72163"/>
    <w:rsid w:val="00B72E39"/>
    <w:rsid w:val="00B800C1"/>
    <w:rsid w:val="00B80ED3"/>
    <w:rsid w:val="00B81CA2"/>
    <w:rsid w:val="00B8727A"/>
    <w:rsid w:val="00B9182D"/>
    <w:rsid w:val="00B922DA"/>
    <w:rsid w:val="00B94BEF"/>
    <w:rsid w:val="00B95D56"/>
    <w:rsid w:val="00B97ED5"/>
    <w:rsid w:val="00BA13A1"/>
    <w:rsid w:val="00BA4CDF"/>
    <w:rsid w:val="00BB1ACD"/>
    <w:rsid w:val="00BC6E91"/>
    <w:rsid w:val="00BD06FE"/>
    <w:rsid w:val="00BD4102"/>
    <w:rsid w:val="00BE13BC"/>
    <w:rsid w:val="00BE6D8D"/>
    <w:rsid w:val="00BF1160"/>
    <w:rsid w:val="00BF69AF"/>
    <w:rsid w:val="00C077BD"/>
    <w:rsid w:val="00C16113"/>
    <w:rsid w:val="00C170A3"/>
    <w:rsid w:val="00C212E3"/>
    <w:rsid w:val="00C21823"/>
    <w:rsid w:val="00C25FB8"/>
    <w:rsid w:val="00C33F26"/>
    <w:rsid w:val="00C34D64"/>
    <w:rsid w:val="00C36A04"/>
    <w:rsid w:val="00C377D4"/>
    <w:rsid w:val="00C4081C"/>
    <w:rsid w:val="00C4094C"/>
    <w:rsid w:val="00C4501C"/>
    <w:rsid w:val="00C45E80"/>
    <w:rsid w:val="00C4779E"/>
    <w:rsid w:val="00C61326"/>
    <w:rsid w:val="00C63F13"/>
    <w:rsid w:val="00C67207"/>
    <w:rsid w:val="00C739AE"/>
    <w:rsid w:val="00C74285"/>
    <w:rsid w:val="00C82319"/>
    <w:rsid w:val="00C860A0"/>
    <w:rsid w:val="00C90330"/>
    <w:rsid w:val="00C903D9"/>
    <w:rsid w:val="00CA4C2B"/>
    <w:rsid w:val="00CB177A"/>
    <w:rsid w:val="00CC1B70"/>
    <w:rsid w:val="00CC4288"/>
    <w:rsid w:val="00CC5E13"/>
    <w:rsid w:val="00CD7605"/>
    <w:rsid w:val="00CE00F4"/>
    <w:rsid w:val="00CE0AC8"/>
    <w:rsid w:val="00CE2AAA"/>
    <w:rsid w:val="00CE3A24"/>
    <w:rsid w:val="00CF1266"/>
    <w:rsid w:val="00CF5D23"/>
    <w:rsid w:val="00D034C6"/>
    <w:rsid w:val="00D06875"/>
    <w:rsid w:val="00D07B84"/>
    <w:rsid w:val="00D11AB9"/>
    <w:rsid w:val="00D1617B"/>
    <w:rsid w:val="00D30629"/>
    <w:rsid w:val="00D41A33"/>
    <w:rsid w:val="00D53085"/>
    <w:rsid w:val="00D55AD6"/>
    <w:rsid w:val="00D56642"/>
    <w:rsid w:val="00D57B76"/>
    <w:rsid w:val="00D60E60"/>
    <w:rsid w:val="00D647EE"/>
    <w:rsid w:val="00D66A2A"/>
    <w:rsid w:val="00D7392C"/>
    <w:rsid w:val="00D85C8A"/>
    <w:rsid w:val="00D8655A"/>
    <w:rsid w:val="00D87BAA"/>
    <w:rsid w:val="00D909BB"/>
    <w:rsid w:val="00D90F48"/>
    <w:rsid w:val="00D92EB3"/>
    <w:rsid w:val="00D95BB8"/>
    <w:rsid w:val="00DA06AB"/>
    <w:rsid w:val="00DA4C42"/>
    <w:rsid w:val="00DA5091"/>
    <w:rsid w:val="00DB0B94"/>
    <w:rsid w:val="00DB2063"/>
    <w:rsid w:val="00DB51DE"/>
    <w:rsid w:val="00DC6443"/>
    <w:rsid w:val="00DC7FF0"/>
    <w:rsid w:val="00DD137E"/>
    <w:rsid w:val="00DD428A"/>
    <w:rsid w:val="00DD779A"/>
    <w:rsid w:val="00DE5945"/>
    <w:rsid w:val="00DF6CD1"/>
    <w:rsid w:val="00DF71BA"/>
    <w:rsid w:val="00E02D76"/>
    <w:rsid w:val="00E10653"/>
    <w:rsid w:val="00E169C0"/>
    <w:rsid w:val="00E17E60"/>
    <w:rsid w:val="00E20101"/>
    <w:rsid w:val="00E227A1"/>
    <w:rsid w:val="00E31E36"/>
    <w:rsid w:val="00E45188"/>
    <w:rsid w:val="00E47596"/>
    <w:rsid w:val="00E60612"/>
    <w:rsid w:val="00E615AE"/>
    <w:rsid w:val="00E661D3"/>
    <w:rsid w:val="00E6698D"/>
    <w:rsid w:val="00E70C20"/>
    <w:rsid w:val="00E81D02"/>
    <w:rsid w:val="00E8300D"/>
    <w:rsid w:val="00E87303"/>
    <w:rsid w:val="00E87475"/>
    <w:rsid w:val="00E908CC"/>
    <w:rsid w:val="00E93113"/>
    <w:rsid w:val="00E96FC8"/>
    <w:rsid w:val="00EA3F2C"/>
    <w:rsid w:val="00EA4AC8"/>
    <w:rsid w:val="00EA6A14"/>
    <w:rsid w:val="00EA6B30"/>
    <w:rsid w:val="00EB5B82"/>
    <w:rsid w:val="00EB6FC9"/>
    <w:rsid w:val="00EC173D"/>
    <w:rsid w:val="00EC7627"/>
    <w:rsid w:val="00EC7F8E"/>
    <w:rsid w:val="00ED2E5E"/>
    <w:rsid w:val="00ED3D63"/>
    <w:rsid w:val="00ED5C5E"/>
    <w:rsid w:val="00EE48BF"/>
    <w:rsid w:val="00EE6BBF"/>
    <w:rsid w:val="00EF476A"/>
    <w:rsid w:val="00EF4AA4"/>
    <w:rsid w:val="00EF5E65"/>
    <w:rsid w:val="00F06431"/>
    <w:rsid w:val="00F0690A"/>
    <w:rsid w:val="00F077E4"/>
    <w:rsid w:val="00F12189"/>
    <w:rsid w:val="00F20AA8"/>
    <w:rsid w:val="00F2470D"/>
    <w:rsid w:val="00F3187E"/>
    <w:rsid w:val="00F336A2"/>
    <w:rsid w:val="00F42036"/>
    <w:rsid w:val="00F478A5"/>
    <w:rsid w:val="00F50564"/>
    <w:rsid w:val="00F5518B"/>
    <w:rsid w:val="00F571CC"/>
    <w:rsid w:val="00F65EE2"/>
    <w:rsid w:val="00F66CA5"/>
    <w:rsid w:val="00F76628"/>
    <w:rsid w:val="00F811B7"/>
    <w:rsid w:val="00F825A2"/>
    <w:rsid w:val="00F9081C"/>
    <w:rsid w:val="00F90883"/>
    <w:rsid w:val="00F95766"/>
    <w:rsid w:val="00FA3286"/>
    <w:rsid w:val="00FC25F3"/>
    <w:rsid w:val="00FC49BC"/>
    <w:rsid w:val="00FD036B"/>
    <w:rsid w:val="00FD3337"/>
    <w:rsid w:val="00FD7B94"/>
    <w:rsid w:val="00FE395D"/>
    <w:rsid w:val="00FE3AC0"/>
    <w:rsid w:val="00FF638B"/>
    <w:rsid w:val="016E4B84"/>
    <w:rsid w:val="14C4731C"/>
    <w:rsid w:val="1FB01302"/>
    <w:rsid w:val="3320053E"/>
    <w:rsid w:val="34583DD7"/>
    <w:rsid w:val="35C066EF"/>
    <w:rsid w:val="39C57D47"/>
    <w:rsid w:val="3B624EAF"/>
    <w:rsid w:val="40CA74B6"/>
    <w:rsid w:val="49C0335E"/>
    <w:rsid w:val="51E93CD6"/>
    <w:rsid w:val="5DB1703F"/>
    <w:rsid w:val="5EF91919"/>
    <w:rsid w:val="61F5002F"/>
    <w:rsid w:val="63954AD5"/>
    <w:rsid w:val="64B32226"/>
    <w:rsid w:val="665348E7"/>
    <w:rsid w:val="709C2859"/>
    <w:rsid w:val="763B4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9"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20"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paragraph" w:styleId="5">
    <w:name w:val="heading 3"/>
    <w:basedOn w:val="1"/>
    <w:next w:val="1"/>
    <w:link w:val="21"/>
    <w:qFormat/>
    <w:uiPriority w:val="99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</w:rPr>
  </w:style>
  <w:style w:type="paragraph" w:styleId="6">
    <w:name w:val="heading 4"/>
    <w:basedOn w:val="1"/>
    <w:next w:val="1"/>
    <w:link w:val="22"/>
    <w:qFormat/>
    <w:uiPriority w:val="99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kern w:val="0"/>
      <w:sz w:val="28"/>
      <w:szCs w:val="28"/>
    </w:rPr>
  </w:style>
  <w:style w:type="character" w:default="1" w:styleId="16">
    <w:name w:val="Default Paragraph Font"/>
    <w:unhideWhenUsed/>
    <w:qFormat/>
    <w:uiPriority w:val="1"/>
  </w:style>
  <w:style w:type="table" w:default="1" w:styleId="1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7">
    <w:name w:val="annotation text"/>
    <w:basedOn w:val="1"/>
    <w:link w:val="27"/>
    <w:semiHidden/>
    <w:qFormat/>
    <w:uiPriority w:val="99"/>
    <w:pPr>
      <w:jc w:val="left"/>
    </w:pPr>
    <w:rPr>
      <w:sz w:val="22"/>
    </w:rPr>
  </w:style>
  <w:style w:type="paragraph" w:styleId="8">
    <w:name w:val="Date"/>
    <w:basedOn w:val="1"/>
    <w:next w:val="1"/>
    <w:link w:val="26"/>
    <w:semiHidden/>
    <w:qFormat/>
    <w:uiPriority w:val="99"/>
    <w:pPr>
      <w:ind w:left="100" w:leftChars="2500"/>
    </w:pPr>
    <w:rPr>
      <w:kern w:val="0"/>
      <w:sz w:val="20"/>
      <w:szCs w:val="20"/>
    </w:rPr>
  </w:style>
  <w:style w:type="paragraph" w:styleId="9">
    <w:name w:val="Balloon Text"/>
    <w:basedOn w:val="1"/>
    <w:link w:val="29"/>
    <w:semiHidden/>
    <w:qFormat/>
    <w:uiPriority w:val="99"/>
    <w:rPr>
      <w:sz w:val="18"/>
      <w:szCs w:val="18"/>
    </w:rPr>
  </w:style>
  <w:style w:type="paragraph" w:styleId="10">
    <w:name w:val="footer"/>
    <w:basedOn w:val="1"/>
    <w:link w:val="24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11">
    <w:name w:val="header"/>
    <w:basedOn w:val="1"/>
    <w:link w:val="23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1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3">
    <w:name w:val="annotation subject"/>
    <w:basedOn w:val="7"/>
    <w:next w:val="7"/>
    <w:link w:val="28"/>
    <w:semiHidden/>
    <w:qFormat/>
    <w:uiPriority w:val="99"/>
    <w:rPr>
      <w:b/>
      <w:bCs/>
    </w:rPr>
  </w:style>
  <w:style w:type="table" w:styleId="15">
    <w:name w:val="Table Grid"/>
    <w:basedOn w:val="14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7">
    <w:name w:val="Hyperlink"/>
    <w:qFormat/>
    <w:uiPriority w:val="99"/>
    <w:rPr>
      <w:rFonts w:cs="Times New Roman"/>
      <w:color w:val="0000FF"/>
      <w:u w:val="single"/>
    </w:rPr>
  </w:style>
  <w:style w:type="character" w:styleId="18">
    <w:name w:val="annotation reference"/>
    <w:semiHidden/>
    <w:qFormat/>
    <w:uiPriority w:val="99"/>
    <w:rPr>
      <w:rFonts w:cs="Times New Roman"/>
      <w:sz w:val="21"/>
    </w:rPr>
  </w:style>
  <w:style w:type="character" w:customStyle="1" w:styleId="19">
    <w:name w:val="标题 1 字符"/>
    <w:link w:val="3"/>
    <w:qFormat/>
    <w:locked/>
    <w:uiPriority w:val="99"/>
    <w:rPr>
      <w:rFonts w:cs="Times New Roman"/>
      <w:b/>
      <w:kern w:val="44"/>
      <w:sz w:val="44"/>
    </w:rPr>
  </w:style>
  <w:style w:type="character" w:customStyle="1" w:styleId="20">
    <w:name w:val="标题 2 字符"/>
    <w:link w:val="4"/>
    <w:qFormat/>
    <w:locked/>
    <w:uiPriority w:val="99"/>
    <w:rPr>
      <w:rFonts w:ascii="Cambria" w:hAnsi="Cambria" w:eastAsia="宋体" w:cs="Times New Roman"/>
      <w:b/>
      <w:sz w:val="32"/>
    </w:rPr>
  </w:style>
  <w:style w:type="character" w:customStyle="1" w:styleId="21">
    <w:name w:val="标题 3 字符"/>
    <w:link w:val="5"/>
    <w:qFormat/>
    <w:locked/>
    <w:uiPriority w:val="99"/>
    <w:rPr>
      <w:rFonts w:cs="Times New Roman"/>
      <w:b/>
      <w:sz w:val="32"/>
    </w:rPr>
  </w:style>
  <w:style w:type="character" w:customStyle="1" w:styleId="22">
    <w:name w:val="标题 4 字符"/>
    <w:link w:val="6"/>
    <w:qFormat/>
    <w:locked/>
    <w:uiPriority w:val="99"/>
    <w:rPr>
      <w:rFonts w:ascii="Cambria" w:hAnsi="Cambria" w:eastAsia="宋体" w:cs="Times New Roman"/>
      <w:b/>
      <w:sz w:val="28"/>
    </w:rPr>
  </w:style>
  <w:style w:type="character" w:customStyle="1" w:styleId="23">
    <w:name w:val="页眉 字符"/>
    <w:link w:val="11"/>
    <w:semiHidden/>
    <w:qFormat/>
    <w:locked/>
    <w:uiPriority w:val="99"/>
    <w:rPr>
      <w:rFonts w:cs="Times New Roman"/>
      <w:sz w:val="18"/>
    </w:rPr>
  </w:style>
  <w:style w:type="character" w:customStyle="1" w:styleId="24">
    <w:name w:val="页脚 字符"/>
    <w:link w:val="10"/>
    <w:semiHidden/>
    <w:qFormat/>
    <w:locked/>
    <w:uiPriority w:val="99"/>
    <w:rPr>
      <w:rFonts w:cs="Times New Roman"/>
      <w:sz w:val="18"/>
    </w:rPr>
  </w:style>
  <w:style w:type="paragraph" w:customStyle="1" w:styleId="25">
    <w:name w:val="列出段落1"/>
    <w:basedOn w:val="1"/>
    <w:qFormat/>
    <w:uiPriority w:val="99"/>
    <w:pPr>
      <w:ind w:firstLine="420" w:firstLineChars="200"/>
    </w:pPr>
  </w:style>
  <w:style w:type="character" w:customStyle="1" w:styleId="26">
    <w:name w:val="日期 字符"/>
    <w:link w:val="8"/>
    <w:semiHidden/>
    <w:qFormat/>
    <w:locked/>
    <w:uiPriority w:val="99"/>
    <w:rPr>
      <w:rFonts w:cs="Times New Roman"/>
    </w:rPr>
  </w:style>
  <w:style w:type="character" w:customStyle="1" w:styleId="27">
    <w:name w:val="批注文字 字符"/>
    <w:link w:val="7"/>
    <w:semiHidden/>
    <w:qFormat/>
    <w:locked/>
    <w:uiPriority w:val="99"/>
    <w:rPr>
      <w:rFonts w:cs="Times New Roman"/>
      <w:kern w:val="2"/>
      <w:sz w:val="22"/>
    </w:rPr>
  </w:style>
  <w:style w:type="character" w:customStyle="1" w:styleId="28">
    <w:name w:val="批注主题 字符"/>
    <w:link w:val="13"/>
    <w:semiHidden/>
    <w:qFormat/>
    <w:locked/>
    <w:uiPriority w:val="99"/>
    <w:rPr>
      <w:rFonts w:cs="Times New Roman"/>
      <w:b/>
      <w:kern w:val="2"/>
      <w:sz w:val="22"/>
    </w:rPr>
  </w:style>
  <w:style w:type="character" w:customStyle="1" w:styleId="29">
    <w:name w:val="批注框文本 字符"/>
    <w:link w:val="9"/>
    <w:semiHidden/>
    <w:qFormat/>
    <w:locked/>
    <w:uiPriority w:val="99"/>
    <w:rPr>
      <w:rFonts w:cs="Times New Roman"/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674</Words>
  <Characters>712</Characters>
  <Lines>8</Lines>
  <Paragraphs>2</Paragraphs>
  <TotalTime>6</TotalTime>
  <ScaleCrop>false</ScaleCrop>
  <LinksUpToDate>false</LinksUpToDate>
  <CharactersWithSpaces>712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2019-10-09T00:21:00Z</dcterms:created>
  <dc:creator>xz1</dc:creator>
  <cp:lastModifiedBy>蔓蔓青萝</cp:lastModifiedBy>
  <cp:lastPrinted>2019-09-26T07:05:00Z</cp:lastPrinted>
  <dcterms:modified xsi:type="dcterms:W3CDTF">2026-06-26T07:20:27Z</dcterms:modified>
  <cp:revision>200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2052-12.1.0.24031</vt:lpwstr>
  </property>
  <property fmtid="{D5CDD505-2E9C-101B-9397-08002B2CF9AE}" pid="3" name="KSOTemplateDocerSaveRecord">
    <vt:lpwstr>eyJoZGlkIjoiN2M1YWNmZTFiMDBlYjdkNDJjOTA0ZjFkNDA2N2FmZWUiLCJ1c2VySWQiOiI2NDkzNjEyODAifQ==</vt:lpwstr>
  </property>
  <property fmtid="{D5CDD505-2E9C-101B-9397-08002B2CF9AE}" pid="4" name="ICV">
    <vt:lpwstr>31E13BBF93B24DCC9C7D16E88184DCA2_12</vt:lpwstr>
  </property>
</Properties>
</file>