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8"/>
        <w:widowControl/>
        <w:numPr>
          <w:ilvl w:val="0"/>
          <w:numId w:val="1"/>
        </w:numPr>
        <w:spacing w:line="360" w:lineRule="auto"/>
        <w:ind w:firstLineChars="0"/>
        <w:jc w:val="left"/>
        <w:rPr>
          <w:rFonts w:hint="eastAsia" w:ascii="微软雅黑" w:hAnsi="微软雅黑" w:eastAsia="微软雅黑" w:cs="微软雅黑"/>
          <w:b/>
          <w:bCs w:val="0"/>
          <w:i w:val="0"/>
          <w:iCs w:val="0"/>
          <w:color w:val="auto"/>
          <w:kern w:val="2"/>
          <w:sz w:val="24"/>
          <w:szCs w:val="24"/>
          <w:highlight w:val="none"/>
          <w:lang w:val="en-US" w:eastAsia="zh-CN" w:bidi="ar-SA"/>
        </w:rPr>
      </w:pPr>
      <w:r>
        <w:rPr>
          <w:rFonts w:hint="eastAsia" w:ascii="微软雅黑" w:hAnsi="微软雅黑" w:eastAsia="微软雅黑" w:cs="微软雅黑"/>
          <w:b/>
          <w:bCs w:val="0"/>
          <w:i w:val="0"/>
          <w:iCs w:val="0"/>
          <w:color w:val="auto"/>
          <w:kern w:val="2"/>
          <w:sz w:val="24"/>
          <w:szCs w:val="24"/>
          <w:highlight w:val="none"/>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项目名称</w:t>
            </w:r>
          </w:p>
        </w:tc>
        <w:tc>
          <w:tcPr>
            <w:tcW w:w="5723" w:type="dxa"/>
          </w:tcPr>
          <w:p w14:paraId="006DFF07">
            <w:pPr>
              <w:spacing w:line="360" w:lineRule="auto"/>
              <w:jc w:val="center"/>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中山市口腔医院2026年社会化公务用车租赁项目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i w:val="0"/>
                <w:iCs w:val="0"/>
                <w:color w:val="auto"/>
                <w:sz w:val="24"/>
                <w:szCs w:val="24"/>
                <w:highlight w:val="none"/>
                <w:lang w:eastAsia="zh-CN"/>
              </w:rPr>
            </w:pPr>
            <w:r>
              <w:rPr>
                <w:rFonts w:hint="eastAsia" w:ascii="微软雅黑" w:hAnsi="微软雅黑" w:eastAsia="微软雅黑" w:cs="微软雅黑"/>
                <w:i w:val="0"/>
                <w:iCs w:val="0"/>
                <w:color w:val="auto"/>
                <w:sz w:val="24"/>
                <w:szCs w:val="24"/>
                <w:highlight w:val="none"/>
                <w:lang w:eastAsia="zh-CN"/>
              </w:rPr>
              <w:t>采购预算金额</w:t>
            </w:r>
          </w:p>
        </w:tc>
        <w:tc>
          <w:tcPr>
            <w:tcW w:w="5723" w:type="dxa"/>
          </w:tcPr>
          <w:p w14:paraId="4D49B931">
            <w:pPr>
              <w:spacing w:line="360" w:lineRule="auto"/>
              <w:jc w:val="center"/>
              <w:rPr>
                <w:rFonts w:hint="default" w:ascii="微软雅黑" w:hAnsi="微软雅黑" w:eastAsia="微软雅黑" w:cs="微软雅黑"/>
                <w:i w:val="0"/>
                <w:iCs w:val="0"/>
                <w:color w:val="auto"/>
                <w:sz w:val="24"/>
                <w:szCs w:val="24"/>
                <w:highlight w:val="none"/>
                <w:lang w:val="en-US"/>
              </w:rPr>
            </w:pPr>
            <w:r>
              <w:rPr>
                <w:rFonts w:hint="eastAsia" w:ascii="微软雅黑" w:hAnsi="微软雅黑" w:eastAsia="微软雅黑" w:cs="微软雅黑"/>
                <w:i w:val="0"/>
                <w:iCs w:val="0"/>
                <w:color w:val="auto"/>
                <w:sz w:val="24"/>
                <w:szCs w:val="24"/>
                <w:highlight w:val="none"/>
                <w:lang w:val="en-US" w:eastAsia="zh-CN"/>
              </w:rPr>
              <w:t>50000元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b/>
                <w:bCs/>
                <w:i w:val="0"/>
                <w:iCs w:val="0"/>
                <w:color w:val="auto"/>
                <w:sz w:val="24"/>
                <w:szCs w:val="24"/>
                <w:highlight w:val="none"/>
                <w:lang w:val="en-US" w:eastAsia="zh-CN"/>
              </w:rPr>
              <w:t>供应商报价不得超过“单价最高限价”，否则视为无效报价。</w:t>
            </w:r>
          </w:p>
        </w:tc>
      </w:tr>
    </w:tbl>
    <w:p w14:paraId="2A81CF6C">
      <w:pPr>
        <w:pStyle w:val="18"/>
        <w:widowControl/>
        <w:numPr>
          <w:ilvl w:val="0"/>
          <w:numId w:val="1"/>
        </w:numPr>
        <w:spacing w:line="360" w:lineRule="auto"/>
        <w:ind w:firstLineChars="0"/>
        <w:jc w:val="left"/>
        <w:rPr>
          <w:rFonts w:hint="eastAsia" w:ascii="微软雅黑" w:hAnsi="微软雅黑" w:eastAsia="微软雅黑" w:cs="微软雅黑"/>
          <w:b/>
          <w:bCs w:val="0"/>
          <w:i w:val="0"/>
          <w:iCs w:val="0"/>
          <w:color w:val="auto"/>
          <w:kern w:val="2"/>
          <w:sz w:val="24"/>
          <w:szCs w:val="24"/>
          <w:highlight w:val="none"/>
          <w:lang w:val="en-US" w:eastAsia="zh-CN" w:bidi="ar-SA"/>
        </w:rPr>
      </w:pPr>
      <w:r>
        <w:rPr>
          <w:rFonts w:hint="eastAsia" w:ascii="微软雅黑" w:hAnsi="微软雅黑" w:eastAsia="微软雅黑" w:cs="微软雅黑"/>
          <w:b/>
          <w:bCs w:val="0"/>
          <w:i w:val="0"/>
          <w:iCs w:val="0"/>
          <w:color w:val="auto"/>
          <w:kern w:val="2"/>
          <w:sz w:val="24"/>
          <w:szCs w:val="24"/>
          <w:highlight w:val="none"/>
          <w:lang w:val="en-US" w:eastAsia="zh-CN" w:bidi="ar-SA"/>
        </w:rPr>
        <w:t>采购需求</w:t>
      </w:r>
    </w:p>
    <w:p w14:paraId="69CB632E">
      <w:pPr>
        <w:numPr>
          <w:ilvl w:val="0"/>
          <w:numId w:val="2"/>
        </w:numPr>
        <w:spacing w:line="360" w:lineRule="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采购项目需实现的功能和目标：</w:t>
      </w:r>
    </w:p>
    <w:p w14:paraId="63962C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为满足公务出行/业务用车/会议活动等用车需求，本院现通过采购方式引入第三方车辆租赁服务供应商，确保车辆供应及时、车况良好、服务规范，降低用车成本，提高用车效率，保障用车安全，满足合规管理要求。</w:t>
      </w:r>
    </w:p>
    <w:p w14:paraId="6157149C">
      <w:pPr>
        <w:spacing w:line="360" w:lineRule="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w:t>
      </w:r>
      <w:r>
        <w:rPr>
          <w:rFonts w:hint="eastAsia" w:ascii="微软雅黑" w:hAnsi="微软雅黑" w:eastAsia="微软雅黑" w:cs="微软雅黑"/>
          <w:i w:val="0"/>
          <w:iCs w:val="0"/>
          <w:color w:val="auto"/>
          <w:sz w:val="24"/>
          <w:szCs w:val="24"/>
          <w:highlight w:val="none"/>
          <w:lang w:eastAsia="zh-CN"/>
        </w:rPr>
        <w:t>二</w:t>
      </w:r>
      <w:r>
        <w:rPr>
          <w:rFonts w:hint="eastAsia" w:ascii="微软雅黑" w:hAnsi="微软雅黑" w:eastAsia="微软雅黑" w:cs="微软雅黑"/>
          <w:i w:val="0"/>
          <w:iCs w:val="0"/>
          <w:color w:val="auto"/>
          <w:sz w:val="24"/>
          <w:szCs w:val="24"/>
          <w:highlight w:val="none"/>
        </w:rPr>
        <w:t>）采购标的汇总表</w:t>
      </w:r>
    </w:p>
    <w:tbl>
      <w:tblPr>
        <w:tblStyle w:val="12"/>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916"/>
        <w:gridCol w:w="1684"/>
        <w:gridCol w:w="1408"/>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rPr>
              <w:t>序号</w:t>
            </w:r>
          </w:p>
        </w:tc>
        <w:tc>
          <w:tcPr>
            <w:tcW w:w="491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lang w:eastAsia="zh-CN"/>
              </w:rPr>
              <w:t>标的</w:t>
            </w:r>
            <w:r>
              <w:rPr>
                <w:rFonts w:hint="eastAsia" w:ascii="微软雅黑" w:hAnsi="微软雅黑" w:eastAsia="微软雅黑" w:cs="微软雅黑"/>
                <w:i w:val="0"/>
                <w:iCs w:val="0"/>
                <w:color w:val="auto"/>
                <w:kern w:val="0"/>
                <w:sz w:val="24"/>
                <w:szCs w:val="24"/>
                <w:highlight w:val="none"/>
              </w:rPr>
              <w:t>名称</w:t>
            </w:r>
          </w:p>
        </w:tc>
        <w:tc>
          <w:tcPr>
            <w:tcW w:w="1684"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rPr>
              <w:t>计量单位</w:t>
            </w:r>
          </w:p>
        </w:tc>
        <w:tc>
          <w:tcPr>
            <w:tcW w:w="1408"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lang w:val="en-US" w:eastAsia="zh-CN"/>
              </w:rPr>
              <w:t>1</w:t>
            </w:r>
          </w:p>
        </w:tc>
        <w:tc>
          <w:tcPr>
            <w:tcW w:w="4916"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sz w:val="24"/>
                <w:szCs w:val="24"/>
                <w:highlight w:val="none"/>
                <w:lang w:val="en-US" w:eastAsia="zh-CN"/>
              </w:rPr>
              <w:t>中山市口腔医院2026年社会化公务用车租赁项目</w:t>
            </w:r>
          </w:p>
        </w:tc>
        <w:tc>
          <w:tcPr>
            <w:tcW w:w="1684"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sz w:val="24"/>
                <w:szCs w:val="24"/>
                <w:highlight w:val="none"/>
                <w:lang w:val="en-US" w:eastAsia="zh-CN"/>
              </w:rPr>
              <w:t>项</w:t>
            </w:r>
          </w:p>
        </w:tc>
        <w:tc>
          <w:tcPr>
            <w:tcW w:w="1408"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sz w:val="24"/>
                <w:szCs w:val="24"/>
                <w:highlight w:val="none"/>
                <w:lang w:val="en-US" w:eastAsia="zh-CN"/>
              </w:rPr>
              <w:t>1</w:t>
            </w:r>
          </w:p>
        </w:tc>
      </w:tr>
      <w:tr w14:paraId="28D8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58" w:type="dxa"/>
            <w:gridSpan w:val="4"/>
            <w:shd w:val="clear" w:color="auto" w:fill="FFFFFF"/>
            <w:tcMar>
              <w:top w:w="0" w:type="dxa"/>
              <w:right w:w="0" w:type="dxa"/>
            </w:tcMar>
            <w:vAlign w:val="center"/>
          </w:tcPr>
          <w:p w14:paraId="57B5D88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lang w:val="en-US" w:eastAsia="zh-CN"/>
              </w:rPr>
              <w:t>报价要求：报价包括</w:t>
            </w:r>
            <w:r>
              <w:rPr>
                <w:rFonts w:hint="eastAsia" w:ascii="微软雅黑" w:hAnsi="微软雅黑" w:eastAsia="微软雅黑" w:cs="微软雅黑"/>
                <w:i w:val="0"/>
                <w:iCs w:val="0"/>
                <w:color w:val="auto"/>
                <w:sz w:val="24"/>
                <w:szCs w:val="24"/>
                <w:highlight w:val="none"/>
                <w:lang w:val="en-US" w:eastAsia="zh-CN"/>
              </w:rPr>
              <w:t>油费、路桥费、停车费、司机劳务费、司机食宿费、车辆折旧、保险、维修保养及税费</w:t>
            </w:r>
            <w:r>
              <w:rPr>
                <w:rFonts w:hint="eastAsia" w:ascii="微软雅黑" w:hAnsi="微软雅黑" w:eastAsia="微软雅黑" w:cs="微软雅黑"/>
                <w:i w:val="0"/>
                <w:iCs w:val="0"/>
                <w:color w:val="auto"/>
                <w:kern w:val="0"/>
                <w:sz w:val="24"/>
                <w:szCs w:val="24"/>
                <w:highlight w:val="none"/>
                <w:lang w:val="en-US" w:eastAsia="zh-CN"/>
              </w:rPr>
              <w:t>、应向中华人民共和国政府缴纳的增值税和其它税等全部税费、以及履行合同所需的费用、所有风险、责任等其他一切隐含及不可预见的费用。</w:t>
            </w:r>
          </w:p>
        </w:tc>
      </w:tr>
    </w:tbl>
    <w:p w14:paraId="6D966B24">
      <w:pPr>
        <w:spacing w:line="360" w:lineRule="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eastAsia="zh-CN"/>
        </w:rPr>
        <w:t>（三</w:t>
      </w:r>
      <w:r>
        <w:rPr>
          <w:rFonts w:hint="eastAsia" w:ascii="微软雅黑" w:hAnsi="微软雅黑" w:eastAsia="微软雅黑" w:cs="微软雅黑"/>
          <w:i w:val="0"/>
          <w:iCs w:val="0"/>
          <w:color w:val="auto"/>
          <w:sz w:val="24"/>
          <w:szCs w:val="24"/>
          <w:highlight w:val="none"/>
        </w:rPr>
        <w:t>）技术要求与商务要求</w:t>
      </w:r>
    </w:p>
    <w:tbl>
      <w:tblPr>
        <w:tblStyle w:val="12"/>
        <w:tblW w:w="5200"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7"/>
      </w:tblGrid>
      <w:tr w14:paraId="248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C6863DF">
            <w:pPr>
              <w:adjustRightInd w:val="0"/>
              <w:snapToGrid w:val="0"/>
              <w:ind w:right="120" w:rightChars="50"/>
              <w:jc w:val="left"/>
              <w:rPr>
                <w:rFonts w:hint="eastAsia" w:ascii="微软雅黑" w:hAnsi="微软雅黑" w:eastAsia="微软雅黑" w:cs="微软雅黑"/>
                <w:b/>
                <w:i w:val="0"/>
                <w:iCs w:val="0"/>
                <w:color w:val="auto"/>
                <w:sz w:val="24"/>
                <w:szCs w:val="24"/>
                <w:highlight w:val="none"/>
              </w:rPr>
            </w:pPr>
            <w:r>
              <w:rPr>
                <w:rFonts w:hint="eastAsia" w:ascii="微软雅黑" w:hAnsi="微软雅黑" w:eastAsia="微软雅黑" w:cs="微软雅黑"/>
                <w:b/>
                <w:i w:val="0"/>
                <w:iCs w:val="0"/>
                <w:color w:val="auto"/>
                <w:sz w:val="24"/>
                <w:szCs w:val="24"/>
                <w:highlight w:val="none"/>
              </w:rPr>
              <w:t>一、项目概况及服务内容</w:t>
            </w:r>
          </w:p>
          <w:p w14:paraId="1276B49A">
            <w:pPr>
              <w:pStyle w:val="8"/>
              <w:ind w:left="0" w:leftChars="0" w:firstLine="0" w:firstLineChars="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1.</w:t>
            </w:r>
            <w:r>
              <w:rPr>
                <w:rFonts w:hint="eastAsia" w:ascii="微软雅黑" w:hAnsi="微软雅黑" w:eastAsia="微软雅黑" w:cs="微软雅黑"/>
                <w:i w:val="0"/>
                <w:iCs w:val="0"/>
                <w:color w:val="auto"/>
                <w:sz w:val="24"/>
                <w:szCs w:val="24"/>
                <w:highlight w:val="none"/>
              </w:rPr>
              <w:t>项目名称：中山市口腔医院2026年社会化公务用车租赁项目</w:t>
            </w:r>
          </w:p>
          <w:p w14:paraId="4E9966A0">
            <w:pPr>
              <w:pStyle w:val="8"/>
              <w:ind w:left="0" w:leftChars="0" w:firstLine="0" w:firstLineChars="0"/>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w:t>
            </w:r>
            <w:r>
              <w:rPr>
                <w:rFonts w:hint="eastAsia" w:ascii="微软雅黑" w:hAnsi="微软雅黑" w:eastAsia="微软雅黑" w:cs="微软雅黑"/>
                <w:i w:val="0"/>
                <w:iCs w:val="0"/>
                <w:color w:val="auto"/>
                <w:sz w:val="24"/>
                <w:szCs w:val="24"/>
                <w:highlight w:val="none"/>
              </w:rPr>
              <w:t>预算总额：</w:t>
            </w:r>
            <w:r>
              <w:rPr>
                <w:rFonts w:hint="eastAsia" w:ascii="微软雅黑" w:hAnsi="微软雅黑" w:eastAsia="微软雅黑" w:cs="微软雅黑"/>
                <w:i w:val="0"/>
                <w:iCs w:val="0"/>
                <w:color w:val="auto"/>
                <w:sz w:val="24"/>
                <w:szCs w:val="24"/>
                <w:highlight w:val="none"/>
                <w:lang w:val="en-US" w:eastAsia="zh-CN"/>
              </w:rPr>
              <w:t>50000元</w:t>
            </w:r>
          </w:p>
          <w:p w14:paraId="7A522ADE">
            <w:pPr>
              <w:pStyle w:val="8"/>
              <w:ind w:left="0" w:leftChars="0" w:firstLine="0" w:firstLineChars="0"/>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w:t>
            </w:r>
            <w:r>
              <w:rPr>
                <w:rFonts w:hint="eastAsia" w:ascii="微软雅黑" w:hAnsi="微软雅黑" w:eastAsia="微软雅黑" w:cs="微软雅黑"/>
                <w:i w:val="0"/>
                <w:iCs w:val="0"/>
                <w:color w:val="auto"/>
                <w:sz w:val="24"/>
                <w:szCs w:val="24"/>
                <w:highlight w:val="none"/>
              </w:rPr>
              <w:t>项目内容：</w:t>
            </w:r>
            <w:r>
              <w:rPr>
                <w:rFonts w:hint="eastAsia" w:ascii="微软雅黑" w:hAnsi="微软雅黑" w:eastAsia="微软雅黑" w:cs="微软雅黑"/>
                <w:i w:val="0"/>
                <w:iCs w:val="0"/>
                <w:color w:val="auto"/>
                <w:sz w:val="24"/>
                <w:szCs w:val="24"/>
                <w:highlight w:val="none"/>
                <w:lang w:val="en-US" w:eastAsia="zh-CN"/>
              </w:rPr>
              <w:t>本项目旨在满足医院员工</w:t>
            </w:r>
            <w:r>
              <w:rPr>
                <w:rFonts w:hint="eastAsia" w:ascii="微软雅黑" w:hAnsi="微软雅黑" w:eastAsia="微软雅黑" w:cs="微软雅黑"/>
                <w:i w:val="0"/>
                <w:iCs w:val="0"/>
                <w:color w:val="auto"/>
                <w:sz w:val="24"/>
                <w:szCs w:val="24"/>
                <w:highlight w:val="none"/>
              </w:rPr>
              <w:t>公务出行/业务用车/会议活动等用车需求</w:t>
            </w:r>
            <w:r>
              <w:rPr>
                <w:rFonts w:hint="eastAsia" w:ascii="微软雅黑" w:hAnsi="微软雅黑" w:eastAsia="微软雅黑" w:cs="微软雅黑"/>
                <w:i w:val="0"/>
                <w:iCs w:val="0"/>
                <w:color w:val="auto"/>
                <w:sz w:val="24"/>
                <w:szCs w:val="24"/>
                <w:highlight w:val="none"/>
                <w:lang w:eastAsia="zh-CN"/>
              </w:rPr>
              <w:t>，</w:t>
            </w:r>
            <w:r>
              <w:rPr>
                <w:rFonts w:hint="eastAsia" w:ascii="微软雅黑" w:hAnsi="微软雅黑" w:eastAsia="微软雅黑" w:cs="微软雅黑"/>
                <w:i w:val="0"/>
                <w:iCs w:val="0"/>
                <w:color w:val="auto"/>
                <w:sz w:val="24"/>
                <w:szCs w:val="24"/>
                <w:highlight w:val="none"/>
                <w:lang w:val="en-US" w:eastAsia="zh-CN"/>
              </w:rPr>
              <w:t>具体行程以采购人通知为准，常往目的地详见下表：</w:t>
            </w:r>
          </w:p>
          <w:tbl>
            <w:tblPr>
              <w:tblStyle w:val="12"/>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957"/>
              <w:gridCol w:w="3762"/>
            </w:tblGrid>
            <w:tr w14:paraId="4BCF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957" w:type="dxa"/>
                  <w:vMerge w:val="restart"/>
                  <w:shd w:val="clear" w:color="auto" w:fill="auto"/>
                  <w:vAlign w:val="center"/>
                </w:tcPr>
                <w:p w14:paraId="5B84D9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出发地</w:t>
                  </w:r>
                </w:p>
              </w:tc>
              <w:tc>
                <w:tcPr>
                  <w:tcW w:w="3762" w:type="dxa"/>
                  <w:vMerge w:val="restart"/>
                  <w:shd w:val="clear" w:color="auto" w:fill="auto"/>
                  <w:vAlign w:val="center"/>
                </w:tcPr>
                <w:p w14:paraId="56C63B6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目的地</w:t>
                  </w:r>
                </w:p>
              </w:tc>
            </w:tr>
            <w:tr w14:paraId="2E50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957" w:type="dxa"/>
                  <w:vMerge w:val="continue"/>
                  <w:shd w:val="clear" w:color="auto" w:fill="auto"/>
                  <w:vAlign w:val="center"/>
                </w:tcPr>
                <w:p w14:paraId="66DF31FB">
                  <w:pPr>
                    <w:jc w:val="center"/>
                    <w:rPr>
                      <w:rFonts w:hint="eastAsia" w:ascii="宋体" w:hAnsi="宋体" w:eastAsia="宋体" w:cs="宋体"/>
                      <w:b/>
                      <w:bCs/>
                      <w:i w:val="0"/>
                      <w:iCs w:val="0"/>
                      <w:color w:val="auto"/>
                      <w:sz w:val="20"/>
                      <w:szCs w:val="20"/>
                      <w:highlight w:val="none"/>
                      <w:u w:val="none"/>
                    </w:rPr>
                  </w:pPr>
                </w:p>
              </w:tc>
              <w:tc>
                <w:tcPr>
                  <w:tcW w:w="3762" w:type="dxa"/>
                  <w:vMerge w:val="continue"/>
                  <w:shd w:val="clear" w:color="auto" w:fill="auto"/>
                  <w:vAlign w:val="center"/>
                </w:tcPr>
                <w:p w14:paraId="2F48C538">
                  <w:pPr>
                    <w:jc w:val="center"/>
                    <w:rPr>
                      <w:rFonts w:hint="eastAsia" w:ascii="宋体" w:hAnsi="宋体" w:eastAsia="宋体" w:cs="宋体"/>
                      <w:b/>
                      <w:bCs/>
                      <w:i w:val="0"/>
                      <w:iCs w:val="0"/>
                      <w:color w:val="auto"/>
                      <w:sz w:val="20"/>
                      <w:szCs w:val="20"/>
                      <w:highlight w:val="none"/>
                      <w:u w:val="none"/>
                    </w:rPr>
                  </w:pPr>
                </w:p>
              </w:tc>
            </w:tr>
            <w:tr w14:paraId="34A5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240E7C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3286D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广州市区</w:t>
                  </w:r>
                </w:p>
              </w:tc>
            </w:tr>
            <w:tr w14:paraId="0DC1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5F3F24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0430F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广州机场</w:t>
                  </w:r>
                </w:p>
              </w:tc>
            </w:tr>
            <w:tr w14:paraId="4A0C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957" w:type="dxa"/>
                  <w:shd w:val="clear" w:color="auto" w:fill="auto"/>
                  <w:vAlign w:val="center"/>
                </w:tcPr>
                <w:p w14:paraId="30246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08FDF1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深圳市区</w:t>
                  </w:r>
                </w:p>
              </w:tc>
            </w:tr>
            <w:tr w14:paraId="414A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4526D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32E4A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深圳机场</w:t>
                  </w:r>
                </w:p>
              </w:tc>
            </w:tr>
            <w:tr w14:paraId="77E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957" w:type="dxa"/>
                  <w:shd w:val="clear" w:color="auto" w:fill="auto"/>
                  <w:vAlign w:val="center"/>
                </w:tcPr>
                <w:p w14:paraId="0617B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543858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珠海市区</w:t>
                  </w:r>
                </w:p>
              </w:tc>
            </w:tr>
            <w:tr w14:paraId="06B3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61A85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74007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珠海机场</w:t>
                  </w:r>
                </w:p>
              </w:tc>
            </w:tr>
            <w:tr w14:paraId="2CE4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64B141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7C6BE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佛山市区</w:t>
                  </w:r>
                </w:p>
              </w:tc>
            </w:tr>
            <w:tr w14:paraId="4AAE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16F7C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31B3CC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江门市区</w:t>
                  </w:r>
                </w:p>
              </w:tc>
            </w:tr>
            <w:tr w14:paraId="4F70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4BE658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3D26B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肇庆市区</w:t>
                  </w:r>
                </w:p>
              </w:tc>
            </w:tr>
            <w:tr w14:paraId="391F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957" w:type="dxa"/>
                  <w:shd w:val="clear" w:color="auto" w:fill="auto"/>
                  <w:vAlign w:val="center"/>
                </w:tcPr>
                <w:p w14:paraId="7CE19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1677F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顺德大良</w:t>
                  </w:r>
                </w:p>
              </w:tc>
            </w:tr>
            <w:tr w14:paraId="6CB1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150A2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04C77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东莞市区</w:t>
                  </w:r>
                </w:p>
              </w:tc>
            </w:tr>
            <w:tr w14:paraId="78CB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2957" w:type="dxa"/>
                  <w:shd w:val="clear" w:color="auto" w:fill="auto"/>
                  <w:vAlign w:val="center"/>
                </w:tcPr>
                <w:p w14:paraId="1BB27D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w:t>
                  </w:r>
                </w:p>
              </w:tc>
              <w:tc>
                <w:tcPr>
                  <w:tcW w:w="3762" w:type="dxa"/>
                  <w:shd w:val="clear" w:color="auto" w:fill="auto"/>
                  <w:vAlign w:val="center"/>
                </w:tcPr>
                <w:p w14:paraId="21A96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清远市区</w:t>
                  </w:r>
                </w:p>
              </w:tc>
            </w:tr>
            <w:tr w14:paraId="6BFB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6719" w:type="dxa"/>
                  <w:gridSpan w:val="2"/>
                  <w:shd w:val="clear" w:color="auto" w:fill="auto"/>
                  <w:vAlign w:val="center"/>
                </w:tcPr>
                <w:p w14:paraId="157EC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石岐区至中山市任意镇区</w:t>
                  </w:r>
                </w:p>
              </w:tc>
            </w:tr>
            <w:tr w14:paraId="591B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6719" w:type="dxa"/>
                  <w:gridSpan w:val="2"/>
                  <w:shd w:val="clear" w:color="auto" w:fill="auto"/>
                  <w:vAlign w:val="center"/>
                </w:tcPr>
                <w:p w14:paraId="20757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中山市一天用车</w:t>
                  </w:r>
                </w:p>
              </w:tc>
            </w:tr>
          </w:tbl>
          <w:p w14:paraId="71DC0C83">
            <w:pPr>
              <w:rPr>
                <w:rFonts w:hint="eastAsia"/>
                <w:i w:val="0"/>
                <w:iCs w:val="0"/>
                <w:color w:val="auto"/>
                <w:highlight w:val="none"/>
                <w:lang w:val="en-US" w:eastAsia="zh-CN"/>
              </w:rPr>
            </w:pPr>
          </w:p>
          <w:p w14:paraId="5D817A8A">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4.报价方式：本项目按单价报价（按天租赁，用车24小时内均按一天计算），供应商单价报价不可高于最高限价，最高限价详见下表：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4029"/>
              <w:gridCol w:w="2968"/>
            </w:tblGrid>
            <w:tr w14:paraId="0AE2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21" w:type="dxa"/>
                  <w:vAlign w:val="center"/>
                </w:tcPr>
                <w:p w14:paraId="53BCDCB0">
                  <w:pPr>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序号</w:t>
                  </w:r>
                </w:p>
              </w:tc>
              <w:tc>
                <w:tcPr>
                  <w:tcW w:w="4029" w:type="dxa"/>
                  <w:vAlign w:val="center"/>
                </w:tcPr>
                <w:p w14:paraId="5B3B3B16">
                  <w:pPr>
                    <w:widowControl w:val="0"/>
                    <w:numPr>
                      <w:ilvl w:val="0"/>
                      <w:numId w:val="0"/>
                    </w:numPr>
                    <w:spacing w:line="360" w:lineRule="auto"/>
                    <w:ind w:left="0" w:leftChars="0" w:firstLine="0" w:firstLineChars="0"/>
                    <w:jc w:val="center"/>
                    <w:rPr>
                      <w:rFonts w:hint="eastAsia"/>
                      <w:i w:val="0"/>
                      <w:iCs w:val="0"/>
                      <w:color w:val="auto"/>
                      <w:highlight w:val="none"/>
                      <w:vertAlign w:val="baseline"/>
                      <w:lang w:val="en-US" w:eastAsia="zh-CN"/>
                    </w:rPr>
                  </w:pPr>
                  <w:r>
                    <w:rPr>
                      <w:rFonts w:hint="eastAsia" w:eastAsia="宋体"/>
                      <w:i w:val="0"/>
                      <w:iCs w:val="0"/>
                      <w:color w:val="auto"/>
                      <w:highlight w:val="none"/>
                      <w:lang w:val="en-US" w:eastAsia="zh-CN"/>
                    </w:rPr>
                    <w:t>车型</w:t>
                  </w:r>
                </w:p>
              </w:tc>
              <w:tc>
                <w:tcPr>
                  <w:tcW w:w="2968" w:type="dxa"/>
                  <w:vAlign w:val="center"/>
                </w:tcPr>
                <w:p w14:paraId="6839136F">
                  <w:pPr>
                    <w:adjustRightInd w:val="0"/>
                    <w:snapToGrid w:val="0"/>
                    <w:ind w:right="120" w:rightChars="50"/>
                    <w:jc w:val="center"/>
                    <w:rPr>
                      <w:rFonts w:hint="eastAsia"/>
                      <w:i w:val="0"/>
                      <w:iCs w:val="0"/>
                      <w:color w:val="auto"/>
                      <w:highlight w:val="none"/>
                      <w:vertAlign w:val="baseline"/>
                      <w:lang w:val="en-US" w:eastAsia="zh-CN"/>
                    </w:rPr>
                  </w:pPr>
                  <w:r>
                    <w:rPr>
                      <w:rFonts w:hint="eastAsia" w:ascii="微软雅黑" w:hAnsi="微软雅黑" w:eastAsia="微软雅黑" w:cs="微软雅黑"/>
                      <w:i w:val="0"/>
                      <w:iCs w:val="0"/>
                      <w:color w:val="auto"/>
                      <w:sz w:val="24"/>
                      <w:szCs w:val="24"/>
                      <w:highlight w:val="none"/>
                      <w:lang w:val="en-US" w:eastAsia="zh-CN"/>
                    </w:rPr>
                    <w:t>单价最高限价（元/天/辆）</w:t>
                  </w:r>
                </w:p>
              </w:tc>
            </w:tr>
            <w:tr w14:paraId="6F5A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121" w:type="dxa"/>
                  <w:vAlign w:val="center"/>
                </w:tcPr>
                <w:p w14:paraId="7720B16B">
                  <w:pPr>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1</w:t>
                  </w:r>
                </w:p>
              </w:tc>
              <w:tc>
                <w:tcPr>
                  <w:tcW w:w="4029" w:type="dxa"/>
                  <w:vAlign w:val="center"/>
                </w:tcPr>
                <w:p w14:paraId="257192F6">
                  <w:pPr>
                    <w:widowControl w:val="0"/>
                    <w:numPr>
                      <w:ilvl w:val="0"/>
                      <w:numId w:val="0"/>
                    </w:numPr>
                    <w:spacing w:line="360" w:lineRule="auto"/>
                    <w:jc w:val="center"/>
                    <w:rPr>
                      <w:rFonts w:hint="eastAsia" w:eastAsia="宋体"/>
                      <w:i w:val="0"/>
                      <w:iCs w:val="0"/>
                      <w:color w:val="auto"/>
                      <w:highlight w:val="none"/>
                      <w:lang w:val="en-US" w:eastAsia="zh-CN"/>
                    </w:rPr>
                  </w:pPr>
                  <w:r>
                    <w:rPr>
                      <w:rFonts w:hint="eastAsia" w:eastAsia="宋体"/>
                      <w:i w:val="0"/>
                      <w:iCs w:val="0"/>
                      <w:color w:val="auto"/>
                      <w:highlight w:val="none"/>
                      <w:lang w:val="en-US" w:eastAsia="zh-CN"/>
                    </w:rPr>
                    <w:t>小轿车/商务车</w:t>
                  </w:r>
                </w:p>
                <w:p w14:paraId="4DA4489D">
                  <w:pPr>
                    <w:widowControl w:val="0"/>
                    <w:numPr>
                      <w:ilvl w:val="0"/>
                      <w:numId w:val="0"/>
                    </w:numPr>
                    <w:spacing w:line="360" w:lineRule="auto"/>
                    <w:ind w:left="0" w:leftChars="0" w:firstLine="0" w:firstLineChars="0"/>
                    <w:jc w:val="center"/>
                    <w:rPr>
                      <w:rFonts w:hint="eastAsia"/>
                      <w:i w:val="0"/>
                      <w:iCs w:val="0"/>
                      <w:color w:val="auto"/>
                      <w:highlight w:val="none"/>
                      <w:vertAlign w:val="baseline"/>
                      <w:lang w:val="en-US" w:eastAsia="zh-CN"/>
                    </w:rPr>
                  </w:pPr>
                  <w:r>
                    <w:rPr>
                      <w:rFonts w:hint="eastAsia" w:eastAsia="宋体"/>
                      <w:i w:val="0"/>
                      <w:iCs w:val="0"/>
                      <w:color w:val="auto"/>
                      <w:highlight w:val="none"/>
                      <w:lang w:val="en-US" w:eastAsia="zh-CN"/>
                    </w:rPr>
                    <w:t>（7座及以下）</w:t>
                  </w:r>
                </w:p>
              </w:tc>
              <w:tc>
                <w:tcPr>
                  <w:tcW w:w="2968" w:type="dxa"/>
                  <w:vAlign w:val="center"/>
                </w:tcPr>
                <w:p w14:paraId="57A6D6AF">
                  <w:pPr>
                    <w:widowControl w:val="0"/>
                    <w:numPr>
                      <w:ilvl w:val="0"/>
                      <w:numId w:val="0"/>
                    </w:numPr>
                    <w:spacing w:line="360" w:lineRule="auto"/>
                    <w:ind w:left="0" w:leftChars="0" w:firstLine="0" w:firstLineChars="0"/>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1000</w:t>
                  </w:r>
                </w:p>
              </w:tc>
            </w:tr>
            <w:tr w14:paraId="174D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21" w:type="dxa"/>
                  <w:vAlign w:val="center"/>
                </w:tcPr>
                <w:p w14:paraId="0155FA08">
                  <w:pPr>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2</w:t>
                  </w:r>
                </w:p>
              </w:tc>
              <w:tc>
                <w:tcPr>
                  <w:tcW w:w="4029" w:type="dxa"/>
                  <w:vAlign w:val="center"/>
                </w:tcPr>
                <w:p w14:paraId="7B283571">
                  <w:pPr>
                    <w:widowControl w:val="0"/>
                    <w:numPr>
                      <w:ilvl w:val="0"/>
                      <w:numId w:val="0"/>
                    </w:numPr>
                    <w:spacing w:line="360" w:lineRule="auto"/>
                    <w:ind w:left="0" w:leftChars="0" w:firstLine="0" w:firstLineChars="0"/>
                    <w:jc w:val="center"/>
                    <w:rPr>
                      <w:rFonts w:hint="eastAsia"/>
                      <w:i w:val="0"/>
                      <w:iCs w:val="0"/>
                      <w:color w:val="auto"/>
                      <w:highlight w:val="none"/>
                      <w:vertAlign w:val="baseline"/>
                      <w:lang w:val="en-US" w:eastAsia="zh-CN"/>
                    </w:rPr>
                  </w:pPr>
                  <w:r>
                    <w:rPr>
                      <w:rFonts w:hint="eastAsia" w:eastAsia="宋体"/>
                      <w:i w:val="0"/>
                      <w:iCs w:val="0"/>
                      <w:color w:val="auto"/>
                      <w:highlight w:val="none"/>
                      <w:lang w:val="en-US" w:eastAsia="zh-CN"/>
                    </w:rPr>
                    <w:t>中巴车（9-19座）</w:t>
                  </w:r>
                </w:p>
              </w:tc>
              <w:tc>
                <w:tcPr>
                  <w:tcW w:w="2968" w:type="dxa"/>
                  <w:vAlign w:val="center"/>
                </w:tcPr>
                <w:p w14:paraId="4072548C">
                  <w:pPr>
                    <w:widowControl w:val="0"/>
                    <w:numPr>
                      <w:ilvl w:val="0"/>
                      <w:numId w:val="0"/>
                    </w:numPr>
                    <w:spacing w:line="360" w:lineRule="auto"/>
                    <w:ind w:left="0" w:leftChars="0" w:firstLine="0" w:firstLineChars="0"/>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1500</w:t>
                  </w:r>
                </w:p>
              </w:tc>
            </w:tr>
            <w:tr w14:paraId="28DA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21" w:type="dxa"/>
                  <w:vAlign w:val="center"/>
                </w:tcPr>
                <w:p w14:paraId="540A3573">
                  <w:pPr>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3</w:t>
                  </w:r>
                </w:p>
              </w:tc>
              <w:tc>
                <w:tcPr>
                  <w:tcW w:w="4029" w:type="dxa"/>
                  <w:vAlign w:val="center"/>
                </w:tcPr>
                <w:p w14:paraId="4E6327A5">
                  <w:pPr>
                    <w:widowControl w:val="0"/>
                    <w:numPr>
                      <w:ilvl w:val="0"/>
                      <w:numId w:val="0"/>
                    </w:numPr>
                    <w:spacing w:line="360" w:lineRule="auto"/>
                    <w:jc w:val="center"/>
                    <w:rPr>
                      <w:rFonts w:hint="eastAsia" w:eastAsia="宋体"/>
                      <w:i w:val="0"/>
                      <w:iCs w:val="0"/>
                      <w:color w:val="auto"/>
                      <w:highlight w:val="none"/>
                      <w:vertAlign w:val="baseline"/>
                      <w:lang w:val="en-US" w:eastAsia="zh-CN"/>
                    </w:rPr>
                  </w:pPr>
                  <w:r>
                    <w:rPr>
                      <w:rFonts w:hint="eastAsia" w:eastAsia="宋体"/>
                      <w:i w:val="0"/>
                      <w:iCs w:val="0"/>
                      <w:color w:val="auto"/>
                      <w:highlight w:val="none"/>
                      <w:lang w:val="en-US" w:eastAsia="zh-CN"/>
                    </w:rPr>
                    <w:t>大巴车（20座以上，</w:t>
                  </w:r>
                </w:p>
                <w:p w14:paraId="31EF78B4">
                  <w:pPr>
                    <w:widowControl w:val="0"/>
                    <w:numPr>
                      <w:ilvl w:val="0"/>
                      <w:numId w:val="0"/>
                    </w:numPr>
                    <w:spacing w:line="360" w:lineRule="auto"/>
                    <w:ind w:left="0" w:leftChars="0" w:firstLine="0" w:firstLineChars="0"/>
                    <w:jc w:val="center"/>
                    <w:rPr>
                      <w:rFonts w:hint="eastAsia"/>
                      <w:i w:val="0"/>
                      <w:iCs w:val="0"/>
                      <w:color w:val="auto"/>
                      <w:highlight w:val="none"/>
                      <w:vertAlign w:val="baseline"/>
                      <w:lang w:val="en-US" w:eastAsia="zh-CN"/>
                    </w:rPr>
                  </w:pPr>
                  <w:r>
                    <w:rPr>
                      <w:rFonts w:hint="eastAsia" w:eastAsia="宋体"/>
                      <w:i w:val="0"/>
                      <w:iCs w:val="0"/>
                      <w:color w:val="auto"/>
                      <w:highlight w:val="none"/>
                      <w:lang w:val="en-US" w:eastAsia="zh-CN"/>
                    </w:rPr>
                    <w:t>常用33座、45座、51座）</w:t>
                  </w:r>
                </w:p>
              </w:tc>
              <w:tc>
                <w:tcPr>
                  <w:tcW w:w="2968" w:type="dxa"/>
                  <w:vAlign w:val="center"/>
                </w:tcPr>
                <w:p w14:paraId="6004758F">
                  <w:pPr>
                    <w:widowControl w:val="0"/>
                    <w:numPr>
                      <w:ilvl w:val="0"/>
                      <w:numId w:val="0"/>
                    </w:numPr>
                    <w:spacing w:line="360" w:lineRule="auto"/>
                    <w:ind w:left="0" w:leftChars="0" w:firstLine="0" w:firstLineChars="0"/>
                    <w:jc w:val="center"/>
                    <w:rPr>
                      <w:rFonts w:hint="default"/>
                      <w:i w:val="0"/>
                      <w:iCs w:val="0"/>
                      <w:color w:val="auto"/>
                      <w:highlight w:val="none"/>
                      <w:vertAlign w:val="baseline"/>
                      <w:lang w:val="en-US" w:eastAsia="zh-CN"/>
                    </w:rPr>
                  </w:pPr>
                  <w:r>
                    <w:rPr>
                      <w:rFonts w:hint="eastAsia"/>
                      <w:i w:val="0"/>
                      <w:iCs w:val="0"/>
                      <w:color w:val="auto"/>
                      <w:highlight w:val="none"/>
                      <w:vertAlign w:val="baseline"/>
                      <w:lang w:val="en-US" w:eastAsia="zh-CN"/>
                    </w:rPr>
                    <w:t>2000</w:t>
                  </w:r>
                </w:p>
              </w:tc>
            </w:tr>
          </w:tbl>
          <w:p w14:paraId="4562B5DA">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p>
          <w:p w14:paraId="6EF8B826">
            <w:pPr>
              <w:rPr>
                <w:rFonts w:hint="eastAsia"/>
                <w:i w:val="0"/>
                <w:iCs w:val="0"/>
                <w:color w:val="auto"/>
                <w:highlight w:val="none"/>
                <w:lang w:val="en-US" w:eastAsia="zh-CN"/>
              </w:rPr>
            </w:pPr>
          </w:p>
          <w:p w14:paraId="7D9B7AB3">
            <w:pPr>
              <w:pStyle w:val="6"/>
              <w:rPr>
                <w:rFonts w:hint="eastAsia"/>
                <w:i w:val="0"/>
                <w:iCs w:val="0"/>
                <w:color w:val="auto"/>
                <w:highlight w:val="none"/>
                <w:lang w:val="en-US" w:eastAsia="zh-CN"/>
              </w:rPr>
            </w:pPr>
          </w:p>
        </w:tc>
      </w:tr>
      <w:tr w14:paraId="7DD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68ADE32">
            <w:pPr>
              <w:numPr>
                <w:ilvl w:val="0"/>
                <w:numId w:val="3"/>
              </w:numPr>
              <w:adjustRightInd w:val="0"/>
              <w:snapToGrid w:val="0"/>
              <w:ind w:right="120" w:rightChars="50"/>
              <w:jc w:val="left"/>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服务方案要求</w:t>
            </w:r>
          </w:p>
          <w:p w14:paraId="5EFEAF72">
            <w:pPr>
              <w:widowControl w:val="0"/>
              <w:numPr>
                <w:ilvl w:val="0"/>
                <w:numId w:val="0"/>
              </w:numPr>
              <w:spacing w:line="360" w:lineRule="auto"/>
              <w:jc w:val="left"/>
              <w:rPr>
                <w:rFonts w:hint="default"/>
                <w:i w:val="0"/>
                <w:iCs w:val="0"/>
                <w:color w:val="auto"/>
                <w:highlight w:val="none"/>
                <w:vertAlign w:val="baseline"/>
                <w:lang w:val="en-US" w:eastAsia="zh-CN"/>
              </w:rPr>
            </w:pPr>
            <w:r>
              <w:rPr>
                <w:rFonts w:hint="eastAsia"/>
                <w:i w:val="0"/>
                <w:iCs w:val="0"/>
                <w:color w:val="auto"/>
                <w:highlight w:val="none"/>
                <w:lang w:val="en-US" w:eastAsia="zh-CN"/>
              </w:rPr>
              <w:t>1.基本要求：供应商需提供按采购人具体用车需求提供车辆，同时需配置一名驾驶员，具体要求见下表。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1421"/>
              <w:gridCol w:w="1337"/>
              <w:gridCol w:w="1142"/>
              <w:gridCol w:w="1775"/>
            </w:tblGrid>
            <w:tr w14:paraId="1951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703" w:type="dxa"/>
                  <w:vAlign w:val="center"/>
                </w:tcPr>
                <w:p w14:paraId="2CF2604D">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车型</w:t>
                  </w:r>
                </w:p>
              </w:tc>
              <w:tc>
                <w:tcPr>
                  <w:tcW w:w="1421" w:type="dxa"/>
                  <w:vAlign w:val="center"/>
                </w:tcPr>
                <w:p w14:paraId="1EEC4D23">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驾照要求</w:t>
                  </w:r>
                </w:p>
              </w:tc>
              <w:tc>
                <w:tcPr>
                  <w:tcW w:w="1337" w:type="dxa"/>
                  <w:vAlign w:val="center"/>
                </w:tcPr>
                <w:p w14:paraId="2212CF78">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年龄要求</w:t>
                  </w:r>
                </w:p>
              </w:tc>
              <w:tc>
                <w:tcPr>
                  <w:tcW w:w="1142" w:type="dxa"/>
                  <w:vAlign w:val="center"/>
                </w:tcPr>
                <w:p w14:paraId="27BA7627">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驾龄要求</w:t>
                  </w:r>
                </w:p>
              </w:tc>
              <w:tc>
                <w:tcPr>
                  <w:tcW w:w="1775" w:type="dxa"/>
                  <w:vAlign w:val="center"/>
                </w:tcPr>
                <w:p w14:paraId="48507B5B">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其他要求</w:t>
                  </w:r>
                </w:p>
              </w:tc>
            </w:tr>
            <w:tr w14:paraId="2C3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703" w:type="dxa"/>
                  <w:vAlign w:val="center"/>
                </w:tcPr>
                <w:p w14:paraId="27689817">
                  <w:pPr>
                    <w:widowControl w:val="0"/>
                    <w:numPr>
                      <w:ilvl w:val="0"/>
                      <w:numId w:val="0"/>
                    </w:numPr>
                    <w:spacing w:line="360" w:lineRule="auto"/>
                    <w:jc w:val="center"/>
                    <w:rPr>
                      <w:rFonts w:hint="eastAsia" w:eastAsia="宋体"/>
                      <w:i w:val="0"/>
                      <w:iCs w:val="0"/>
                      <w:color w:val="auto"/>
                      <w:highlight w:val="none"/>
                      <w:lang w:val="en-US" w:eastAsia="zh-CN"/>
                    </w:rPr>
                  </w:pPr>
                  <w:r>
                    <w:rPr>
                      <w:rFonts w:hint="eastAsia" w:eastAsia="宋体"/>
                      <w:i w:val="0"/>
                      <w:iCs w:val="0"/>
                      <w:color w:val="auto"/>
                      <w:highlight w:val="none"/>
                      <w:lang w:val="en-US" w:eastAsia="zh-CN"/>
                    </w:rPr>
                    <w:t>小轿车/商务车</w:t>
                  </w:r>
                </w:p>
                <w:p w14:paraId="5883B5D0">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（7座及以下）</w:t>
                  </w:r>
                </w:p>
              </w:tc>
              <w:tc>
                <w:tcPr>
                  <w:tcW w:w="1421" w:type="dxa"/>
                  <w:vAlign w:val="center"/>
                </w:tcPr>
                <w:p w14:paraId="1FDD0E00">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C1及以上</w:t>
                  </w:r>
                </w:p>
              </w:tc>
              <w:tc>
                <w:tcPr>
                  <w:tcW w:w="1337" w:type="dxa"/>
                  <w:vAlign w:val="center"/>
                </w:tcPr>
                <w:p w14:paraId="4D861D9B">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≤50岁</w:t>
                  </w:r>
                </w:p>
              </w:tc>
              <w:tc>
                <w:tcPr>
                  <w:tcW w:w="1142" w:type="dxa"/>
                  <w:vAlign w:val="center"/>
                </w:tcPr>
                <w:p w14:paraId="7635A18B">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≥5年</w:t>
                  </w:r>
                </w:p>
              </w:tc>
              <w:tc>
                <w:tcPr>
                  <w:tcW w:w="1775" w:type="dxa"/>
                  <w:vAlign w:val="center"/>
                </w:tcPr>
                <w:p w14:paraId="5863DF35">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无重大交通事故记录</w:t>
                  </w:r>
                </w:p>
              </w:tc>
            </w:tr>
            <w:tr w14:paraId="071B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703" w:type="dxa"/>
                  <w:vAlign w:val="center"/>
                </w:tcPr>
                <w:p w14:paraId="4B679533">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中巴车（9-19座）</w:t>
                  </w:r>
                </w:p>
              </w:tc>
              <w:tc>
                <w:tcPr>
                  <w:tcW w:w="1421" w:type="dxa"/>
                  <w:vAlign w:val="center"/>
                </w:tcPr>
                <w:p w14:paraId="320A76D2">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B1及以上</w:t>
                  </w:r>
                </w:p>
              </w:tc>
              <w:tc>
                <w:tcPr>
                  <w:tcW w:w="1337" w:type="dxa"/>
                  <w:shd w:val="clear" w:color="auto" w:fill="auto"/>
                  <w:vAlign w:val="center"/>
                </w:tcPr>
                <w:p w14:paraId="70DEA384">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≤50岁</w:t>
                  </w:r>
                </w:p>
              </w:tc>
              <w:tc>
                <w:tcPr>
                  <w:tcW w:w="1142" w:type="dxa"/>
                  <w:shd w:val="clear" w:color="auto" w:fill="auto"/>
                  <w:vAlign w:val="center"/>
                </w:tcPr>
                <w:p w14:paraId="0169EFB7">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≥5年</w:t>
                  </w:r>
                </w:p>
              </w:tc>
              <w:tc>
                <w:tcPr>
                  <w:tcW w:w="1775" w:type="dxa"/>
                  <w:shd w:val="clear" w:color="auto" w:fill="auto"/>
                  <w:vAlign w:val="center"/>
                </w:tcPr>
                <w:p w14:paraId="3E99CC77">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无重大交通事故记录</w:t>
                  </w:r>
                </w:p>
              </w:tc>
            </w:tr>
            <w:tr w14:paraId="1FE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03" w:type="dxa"/>
                  <w:vAlign w:val="center"/>
                </w:tcPr>
                <w:p w14:paraId="6AEE2941">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大巴车（20座以上）</w:t>
                  </w:r>
                </w:p>
              </w:tc>
              <w:tc>
                <w:tcPr>
                  <w:tcW w:w="1421" w:type="dxa"/>
                  <w:vAlign w:val="center"/>
                </w:tcPr>
                <w:p w14:paraId="5611B398">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A1驾照</w:t>
                  </w:r>
                </w:p>
              </w:tc>
              <w:tc>
                <w:tcPr>
                  <w:tcW w:w="1337" w:type="dxa"/>
                  <w:shd w:val="clear" w:color="auto" w:fill="auto"/>
                  <w:vAlign w:val="center"/>
                </w:tcPr>
                <w:p w14:paraId="0AEA3D82">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≤50岁</w:t>
                  </w:r>
                </w:p>
              </w:tc>
              <w:tc>
                <w:tcPr>
                  <w:tcW w:w="1142" w:type="dxa"/>
                  <w:shd w:val="clear" w:color="auto" w:fill="auto"/>
                  <w:vAlign w:val="center"/>
                </w:tcPr>
                <w:p w14:paraId="77F48ACA">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≥5年</w:t>
                  </w:r>
                </w:p>
              </w:tc>
              <w:tc>
                <w:tcPr>
                  <w:tcW w:w="1775" w:type="dxa"/>
                  <w:shd w:val="clear" w:color="auto" w:fill="auto"/>
                  <w:vAlign w:val="center"/>
                </w:tcPr>
                <w:p w14:paraId="058760C0">
                  <w:pPr>
                    <w:widowControl w:val="0"/>
                    <w:numPr>
                      <w:ilvl w:val="0"/>
                      <w:numId w:val="0"/>
                    </w:numPr>
                    <w:spacing w:line="360" w:lineRule="auto"/>
                    <w:jc w:val="center"/>
                    <w:rPr>
                      <w:rFonts w:hint="default" w:eastAsia="宋体"/>
                      <w:i w:val="0"/>
                      <w:iCs w:val="0"/>
                      <w:color w:val="auto"/>
                      <w:highlight w:val="none"/>
                      <w:lang w:val="en-US" w:eastAsia="zh-CN"/>
                    </w:rPr>
                  </w:pPr>
                  <w:r>
                    <w:rPr>
                      <w:rFonts w:hint="eastAsia" w:eastAsia="宋体"/>
                      <w:i w:val="0"/>
                      <w:iCs w:val="0"/>
                      <w:color w:val="auto"/>
                      <w:highlight w:val="none"/>
                      <w:lang w:val="en-US" w:eastAsia="zh-CN"/>
                    </w:rPr>
                    <w:t>无重大交通事故记录</w:t>
                  </w:r>
                </w:p>
              </w:tc>
            </w:tr>
          </w:tbl>
          <w:p w14:paraId="157ED68A">
            <w:pPr>
              <w:adjustRightInd w:val="0"/>
              <w:snapToGrid w:val="0"/>
              <w:ind w:right="120" w:rightChars="50"/>
              <w:jc w:val="left"/>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2.车辆技术要求</w:t>
            </w:r>
          </w:p>
          <w:p w14:paraId="20D765D5">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2.1车龄要求：所有租赁车辆行驶证初次登记日期须在5年以内，且行驶里程不超过10万公里。</w:t>
            </w:r>
          </w:p>
          <w:p w14:paraId="6BEFD92E">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2.2证件齐全：车辆证照齐全（行驶证、营运证等），年审在有效期内。</w:t>
            </w:r>
          </w:p>
          <w:p w14:paraId="63C85DEB">
            <w:pPr>
              <w:adjustRightInd w:val="0"/>
              <w:snapToGrid w:val="0"/>
              <w:ind w:right="120" w:rightChars="50"/>
              <w:jc w:val="left"/>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2.3保险要求：供应商应为租赁车辆办理承运人责任险、第三者责任险、交通强制险（交强险）、机动车损失保险，且在有效期内。（注：需提供保单复印件作为报价文件附件）</w:t>
            </w:r>
          </w:p>
          <w:p w14:paraId="06383EF2">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2.4车况标准：车内整洁无异味，空调、影音、麦克风、座椅安全带功能正常。配备齐全的安全设施（如灭火器、三角警示牌、应急锤），确保无安全隐患。​</w:t>
            </w:r>
          </w:p>
          <w:p w14:paraId="17C7BC2A">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2.5保养维修：车辆需定期进行保养与安全检测（须提供正规机动车检测机构出具的安全检测报告，含制动、灯光、底盘、轮胎检测项目），车辆日常非人为损坏的维修保养费用及车辆抛锚、拖车等费用由供应商承担。</w:t>
            </w:r>
          </w:p>
          <w:p w14:paraId="368D4E31">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3.驾驶员要求</w:t>
            </w:r>
          </w:p>
          <w:p w14:paraId="568F6FFC">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3.1驾驶员资质</w:t>
            </w:r>
          </w:p>
          <w:p w14:paraId="2E7848E7">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（1）持有与准驾车型相符的驾驶证，且实际驾龄不少于5年。</w:t>
            </w:r>
          </w:p>
          <w:p w14:paraId="5402BBBE">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（2）无交通肇事犯罪、危险驾驶犯罪记录，无吸毒记录，无酒后驾驶记录，最近连续3个记分周期内无记满12分记录。</w:t>
            </w:r>
          </w:p>
          <w:p w14:paraId="191FE2C1">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（3）需通过背景审查（提供无犯罪记录证明）。</w:t>
            </w:r>
          </w:p>
          <w:p w14:paraId="6169C689">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3.2服务规范</w:t>
            </w:r>
          </w:p>
          <w:p w14:paraId="3E1D397B">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（1）着装整洁，用语礼貌，具备一定的保密意识，严禁在车内吸烟、嚼槟榔。</w:t>
            </w:r>
          </w:p>
          <w:p w14:paraId="069E2D86">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（2）熟悉路线，不得擅自更改行驶路线，不得擅自更改行程或搭载无关人员。</w:t>
            </w:r>
          </w:p>
          <w:p w14:paraId="7B8EE522">
            <w:pPr>
              <w:adjustRightInd w:val="0"/>
              <w:snapToGrid w:val="0"/>
              <w:ind w:right="120" w:rightChars="50"/>
              <w:jc w:val="left"/>
              <w:rPr>
                <w:rFonts w:hint="eastAsia"/>
                <w:i w:val="0"/>
                <w:iCs w:val="0"/>
                <w:color w:val="auto"/>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（3）根据出车时间提前半小时到岗，检查车辆状况，主动协助乘客装载行李（大巴车需协助放置行李箱）。</w:t>
            </w:r>
          </w:p>
          <w:p w14:paraId="3D019791">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（4）行驶途中不得超速、违规变道、疲劳驾驶（连续驾驶4小时需休息20分钟）。</w:t>
            </w:r>
          </w:p>
          <w:p w14:paraId="0B278CBA">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4.服务响应要求</w:t>
            </w:r>
          </w:p>
          <w:p w14:paraId="1CF30A7B">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4.1响应时效：采接到采购方用车通知后，30分钟内确认司机及车牌号。</w:t>
            </w:r>
          </w:p>
          <w:p w14:paraId="782CCD96">
            <w:pPr>
              <w:adjustRightInd w:val="0"/>
              <w:snapToGrid w:val="0"/>
              <w:ind w:right="120" w:rightChars="50"/>
              <w:jc w:val="left"/>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4.2备用车辆：车辆维修、保养期间，供应商须在当天提供同等规格临时替代车辆。</w:t>
            </w:r>
          </w:p>
          <w:p w14:paraId="0008760D">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4.3车辆稳定性：不随意变更车辆，确需更换须提前1个工作日申请并经采购人同意。</w:t>
            </w:r>
          </w:p>
          <w:p w14:paraId="6F449EB9">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5.安全管理与违约责任</w:t>
            </w:r>
          </w:p>
          <w:p w14:paraId="348F6F11">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5.1事故处理</w:t>
            </w:r>
          </w:p>
          <w:p w14:paraId="33E9ED0C">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（1）租赁期间发生交通事故，由供应商负责处理理赔事宜，同时租赁方需于30分钟之内安排应急使用车辆，避免影响我方行程。</w:t>
            </w:r>
          </w:p>
          <w:p w14:paraId="1C4BB78D">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（2）因供应商原因（如车辆故障未及时更换、驾驶员迟到/违规驾驶）导致我方行程延误或损失，租赁方需承担相应责任，赔偿我方直接损失。</w:t>
            </w:r>
          </w:p>
          <w:p w14:paraId="48D0CAAA">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（3）因供应商车辆故障或司机过错导致的交通事故，造成采购方人员人身伤害或财产损失的，由供应商承担保险理赔范围外的全部赔偿责任。</w:t>
            </w:r>
          </w:p>
          <w:p w14:paraId="2DA04C98">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5.2违约责任</w:t>
            </w:r>
          </w:p>
          <w:p w14:paraId="0D3882AE">
            <w:pPr>
              <w:numPr>
                <w:ilvl w:val="0"/>
                <w:numId w:val="0"/>
              </w:num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1.单次迟到超时1小时以内：单次违约金300元；超时1小时以上：合同总价1%；</w:t>
            </w:r>
          </w:p>
          <w:p w14:paraId="65BB2850">
            <w:pPr>
              <w:numPr>
                <w:ilvl w:val="0"/>
                <w:numId w:val="0"/>
              </w:num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2.若成交供应商擅自更换车辆/司机，则需支付200元/人次违约金，累计3次以上可解除合同；</w:t>
            </w:r>
          </w:p>
          <w:p w14:paraId="033E8071">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3.若车辆不符合要求，成交供应商需要在3天内调换，承担调换期间所有费用及违约责任；</w:t>
            </w:r>
          </w:p>
          <w:p w14:paraId="76D0233A">
            <w:pPr>
              <w:adjustRightInd w:val="0"/>
              <w:snapToGrid w:val="0"/>
              <w:ind w:right="120" w:rightChars="50"/>
              <w:jc w:val="left"/>
              <w:rPr>
                <w:rFonts w:hint="default"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4.发生全责重大交通事故（造成人员重伤/死亡），供应商除全额承担赔偿外，支付合同总价10%违约金，甲方无条件解约。</w:t>
            </w:r>
          </w:p>
          <w:p w14:paraId="7A247FF6">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5.3争议解决：协商解决，协商不成向采购人所在地人民法院提起诉讼。</w:t>
            </w:r>
          </w:p>
        </w:tc>
      </w:tr>
      <w:tr w14:paraId="49B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024FFF46">
            <w:pPr>
              <w:numPr>
                <w:ilvl w:val="0"/>
                <w:numId w:val="3"/>
              </w:numPr>
              <w:adjustRightInd w:val="0"/>
              <w:snapToGrid w:val="0"/>
              <w:ind w:right="120" w:rightChars="50"/>
              <w:jc w:val="left"/>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服务时间及地点</w:t>
            </w:r>
          </w:p>
          <w:p w14:paraId="2E902EE0">
            <w:pPr>
              <w:adjustRightInd w:val="0"/>
              <w:snapToGrid w:val="0"/>
              <w:ind w:right="120" w:rightChars="50"/>
              <w:jc w:val="left"/>
              <w:rPr>
                <w:rFonts w:hint="default" w:ascii="微软雅黑" w:hAnsi="微软雅黑" w:eastAsia="微软雅黑" w:cs="微软雅黑"/>
                <w:b/>
                <w:bCs/>
                <w:i w:val="0"/>
                <w:iCs w:val="0"/>
                <w:color w:val="auto"/>
                <w:sz w:val="24"/>
                <w:szCs w:val="24"/>
                <w:highlight w:val="none"/>
                <w:lang w:val="en-US"/>
              </w:rPr>
            </w:pPr>
            <w:r>
              <w:rPr>
                <w:rFonts w:hint="eastAsia" w:ascii="微软雅黑" w:hAnsi="微软雅黑" w:eastAsia="微软雅黑" w:cs="微软雅黑"/>
                <w:b/>
                <w:bCs/>
                <w:i w:val="0"/>
                <w:iCs w:val="0"/>
                <w:color w:val="auto"/>
                <w:sz w:val="24"/>
                <w:szCs w:val="24"/>
                <w:highlight w:val="none"/>
                <w:lang w:eastAsia="zh-CN"/>
              </w:rPr>
              <w:t>服务期：</w:t>
            </w:r>
            <w:r>
              <w:rPr>
                <w:rFonts w:hint="eastAsia" w:ascii="微软雅黑" w:hAnsi="微软雅黑" w:eastAsia="微软雅黑" w:cs="微软雅黑"/>
                <w:b/>
                <w:bCs/>
                <w:i w:val="0"/>
                <w:iCs w:val="0"/>
                <w:color w:val="auto"/>
                <w:sz w:val="24"/>
                <w:szCs w:val="24"/>
                <w:highlight w:val="none"/>
                <w:lang w:val="en-US" w:eastAsia="zh-CN"/>
              </w:rPr>
              <w:t>自合同签订之日起1年，合同期结束或项目结算金额累计达到采购预算金额50000元时，该合同自动终止。（以先到者为准）</w:t>
            </w:r>
          </w:p>
          <w:p w14:paraId="41BAAA83">
            <w:pPr>
              <w:pStyle w:val="8"/>
              <w:ind w:left="0" w:leftChars="0" w:firstLine="0" w:firstLineChars="0"/>
              <w:rPr>
                <w:rFonts w:hint="default" w:ascii="微软雅黑" w:hAnsi="微软雅黑" w:eastAsia="微软雅黑" w:cs="微软雅黑"/>
                <w:b/>
                <w:i w:val="0"/>
                <w:iCs w:val="0"/>
                <w:color w:val="auto"/>
                <w:sz w:val="24"/>
                <w:szCs w:val="24"/>
                <w:highlight w:val="none"/>
                <w:lang w:val="en-US" w:eastAsia="zh-CN"/>
              </w:rPr>
            </w:pPr>
            <w:r>
              <w:rPr>
                <w:rFonts w:hint="eastAsia" w:ascii="微软雅黑" w:hAnsi="微软雅黑" w:eastAsia="微软雅黑" w:cs="微软雅黑"/>
                <w:b/>
                <w:i w:val="0"/>
                <w:iCs w:val="0"/>
                <w:color w:val="auto"/>
                <w:sz w:val="24"/>
                <w:szCs w:val="24"/>
                <w:highlight w:val="none"/>
                <w:lang w:val="en-US" w:eastAsia="zh-CN"/>
              </w:rPr>
              <w:t>服务地点：中山市口腔医院</w:t>
            </w:r>
          </w:p>
        </w:tc>
      </w:tr>
      <w:tr w14:paraId="78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C85213D">
            <w:pPr>
              <w:adjustRightInd w:val="0"/>
              <w:snapToGrid w:val="0"/>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四、付款方式及条件：</w:t>
            </w:r>
          </w:p>
          <w:p w14:paraId="4572FB56">
            <w:pPr>
              <w:adjustRightInd w:val="0"/>
              <w:snapToGrid w:val="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1.付款方式：银行转账结算。</w:t>
            </w:r>
          </w:p>
          <w:p w14:paraId="5ABB37CC">
            <w:pPr>
              <w:adjustRightInd w:val="0"/>
              <w:snapToGrid w:val="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2.付款时间及条件：</w:t>
            </w:r>
          </w:p>
          <w:p w14:paraId="368198C6">
            <w:pPr>
              <w:adjustRightInd w:val="0"/>
              <w:snapToGrid w:val="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eastAsia="zh-CN"/>
              </w:rPr>
              <w:t>（</w:t>
            </w:r>
            <w:r>
              <w:rPr>
                <w:rFonts w:hint="eastAsia" w:ascii="微软雅黑" w:hAnsi="微软雅黑" w:eastAsia="微软雅黑" w:cs="微软雅黑"/>
                <w:i w:val="0"/>
                <w:iCs w:val="0"/>
                <w:color w:val="auto"/>
                <w:sz w:val="24"/>
                <w:szCs w:val="24"/>
                <w:highlight w:val="none"/>
                <w:lang w:val="en-US" w:eastAsia="zh-CN"/>
              </w:rPr>
              <w:t>1</w:t>
            </w:r>
            <w:r>
              <w:rPr>
                <w:rFonts w:hint="eastAsia" w:ascii="微软雅黑" w:hAnsi="微软雅黑" w:eastAsia="微软雅黑" w:cs="微软雅黑"/>
                <w:i w:val="0"/>
                <w:iCs w:val="0"/>
                <w:color w:val="auto"/>
                <w:sz w:val="24"/>
                <w:szCs w:val="24"/>
                <w:highlight w:val="none"/>
                <w:lang w:eastAsia="zh-CN"/>
              </w:rPr>
              <w:t>）</w:t>
            </w:r>
            <w:r>
              <w:rPr>
                <w:rFonts w:hint="eastAsia" w:ascii="微软雅黑" w:hAnsi="微软雅黑" w:eastAsia="微软雅黑" w:cs="微软雅黑"/>
                <w:i w:val="0"/>
                <w:iCs w:val="0"/>
                <w:color w:val="auto"/>
                <w:sz w:val="24"/>
                <w:szCs w:val="24"/>
                <w:highlight w:val="none"/>
              </w:rPr>
              <w:t>按实际结算，乙方完成合同约定工作内容并完成结算后，甲方应在收到乙方提交的完整的付款资料之后30个工作日内，向乙方支付款项。</w:t>
            </w:r>
          </w:p>
          <w:p w14:paraId="6790A121">
            <w:pPr>
              <w:adjustRightInd w:val="0"/>
              <w:snapToGrid w:val="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rPr>
              <w:t>（</w:t>
            </w:r>
            <w:r>
              <w:rPr>
                <w:rFonts w:hint="eastAsia" w:ascii="微软雅黑" w:hAnsi="微软雅黑" w:eastAsia="微软雅黑" w:cs="微软雅黑"/>
                <w:i w:val="0"/>
                <w:iCs w:val="0"/>
                <w:color w:val="auto"/>
                <w:sz w:val="24"/>
                <w:szCs w:val="24"/>
                <w:highlight w:val="none"/>
                <w:lang w:val="en-US" w:eastAsia="zh-CN"/>
              </w:rPr>
              <w:t>2）合同的款项以人民币通过银行转账方式结算，</w:t>
            </w:r>
            <w:r>
              <w:rPr>
                <w:rFonts w:hint="eastAsia" w:ascii="微软雅黑" w:hAnsi="微软雅黑" w:eastAsia="微软雅黑" w:cs="微软雅黑"/>
                <w:i w:val="0"/>
                <w:iCs w:val="0"/>
                <w:color w:val="auto"/>
                <w:sz w:val="24"/>
                <w:szCs w:val="24"/>
                <w:highlight w:val="none"/>
              </w:rPr>
              <w:t>供方</w:t>
            </w:r>
            <w:r>
              <w:rPr>
                <w:rFonts w:hint="eastAsia" w:ascii="微软雅黑" w:hAnsi="微软雅黑" w:eastAsia="微软雅黑" w:cs="微软雅黑"/>
                <w:i w:val="0"/>
                <w:iCs w:val="0"/>
                <w:color w:val="auto"/>
                <w:sz w:val="24"/>
                <w:szCs w:val="24"/>
                <w:highlight w:val="none"/>
                <w:lang w:val="en-US" w:eastAsia="zh-CN"/>
              </w:rPr>
              <w:t>凭以下资料申请款项支付：</w:t>
            </w:r>
          </w:p>
          <w:p w14:paraId="6AE9FEA9">
            <w:pPr>
              <w:adjustRightInd w:val="0"/>
              <w:snapToGrid w:val="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①合同复印件；</w:t>
            </w:r>
          </w:p>
          <w:p w14:paraId="2FB66743">
            <w:pPr>
              <w:adjustRightInd w:val="0"/>
              <w:snapToGrid w:val="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②对应款项的正规全额发票和对应款项收据；</w:t>
            </w:r>
          </w:p>
          <w:p w14:paraId="25DDD6A0">
            <w:pPr>
              <w:adjustRightInd w:val="0"/>
              <w:snapToGrid w:val="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③结算清单。</w:t>
            </w:r>
          </w:p>
          <w:p w14:paraId="1A2F6ADE">
            <w:pPr>
              <w:adjustRightInd w:val="0"/>
              <w:snapToGrid w:val="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F894166">
            <w:pPr>
              <w:adjustRightInd w:val="0"/>
              <w:snapToGrid w:val="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4</w:t>
            </w:r>
            <w:r>
              <w:rPr>
                <w:rFonts w:hint="eastAsia" w:ascii="微软雅黑" w:hAnsi="微软雅黑" w:eastAsia="微软雅黑" w:cs="微软雅黑"/>
                <w:i w:val="0"/>
                <w:iCs w:val="0"/>
                <w:color w:val="auto"/>
                <w:sz w:val="24"/>
                <w:szCs w:val="24"/>
                <w:highlight w:val="none"/>
              </w:rPr>
              <w:t>.成交金额包含了本项目可能涉及的一切费用，包括油费、路桥费、停车费、司机劳务费、车辆折旧、保险、维修保养及税费。及所需的一切材料费、税费及合同履行过程中不可预见费用等，需方不再支付任何其他费用。</w:t>
            </w:r>
          </w:p>
        </w:tc>
      </w:tr>
      <w:tr w14:paraId="10A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68B9226">
            <w:pPr>
              <w:numPr>
                <w:ilvl w:val="0"/>
                <w:numId w:val="4"/>
              </w:numPr>
              <w:adjustRightInd w:val="0"/>
              <w:snapToGrid w:val="0"/>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lang w:val="en-US" w:eastAsia="zh-CN"/>
              </w:rPr>
              <w:t>售后及</w:t>
            </w:r>
            <w:r>
              <w:rPr>
                <w:rFonts w:hint="eastAsia" w:ascii="微软雅黑" w:hAnsi="微软雅黑" w:eastAsia="微软雅黑" w:cs="微软雅黑"/>
                <w:b/>
                <w:bCs/>
                <w:i w:val="0"/>
                <w:iCs w:val="0"/>
                <w:color w:val="auto"/>
                <w:sz w:val="24"/>
                <w:szCs w:val="24"/>
                <w:highlight w:val="none"/>
              </w:rPr>
              <w:t>验收</w:t>
            </w:r>
          </w:p>
          <w:p w14:paraId="4DC457E7">
            <w:pPr>
              <w:adjustRightInd w:val="0"/>
              <w:snapToGrid w:val="0"/>
              <w:ind w:right="120" w:rightChars="5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1.</w:t>
            </w:r>
            <w:r>
              <w:rPr>
                <w:rFonts w:hint="eastAsia" w:ascii="微软雅黑" w:hAnsi="微软雅黑" w:eastAsia="微软雅黑" w:cs="微软雅黑"/>
                <w:i w:val="0"/>
                <w:iCs w:val="0"/>
                <w:color w:val="auto"/>
                <w:sz w:val="24"/>
                <w:szCs w:val="24"/>
                <w:highlight w:val="none"/>
                <w:lang w:val="en-US" w:eastAsia="zh-CN"/>
              </w:rPr>
              <w:t>验收要求：按月验收以双方签字的结算清单作为结算凭证。</w:t>
            </w:r>
          </w:p>
          <w:p w14:paraId="501E2B79">
            <w:pPr>
              <w:adjustRightInd w:val="0"/>
              <w:snapToGrid w:val="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2</w:t>
            </w:r>
            <w:r>
              <w:rPr>
                <w:rFonts w:hint="eastAsia" w:ascii="微软雅黑" w:hAnsi="微软雅黑" w:eastAsia="微软雅黑" w:cs="微软雅黑"/>
                <w:i w:val="0"/>
                <w:iCs w:val="0"/>
                <w:color w:val="auto"/>
                <w:sz w:val="24"/>
                <w:szCs w:val="24"/>
                <w:highlight w:val="none"/>
                <w:lang w:eastAsia="zh-CN"/>
              </w:rPr>
              <w:t>.</w:t>
            </w:r>
            <w:r>
              <w:rPr>
                <w:rFonts w:hint="eastAsia" w:ascii="微软雅黑" w:hAnsi="微软雅黑" w:eastAsia="微软雅黑" w:cs="微软雅黑"/>
                <w:i w:val="0"/>
                <w:iCs w:val="0"/>
                <w:color w:val="auto"/>
                <w:sz w:val="24"/>
                <w:szCs w:val="24"/>
                <w:highlight w:val="none"/>
              </w:rPr>
              <w:t>服务反馈：</w:t>
            </w:r>
            <w:r>
              <w:rPr>
                <w:rFonts w:hint="eastAsia" w:ascii="微软雅黑" w:hAnsi="微软雅黑" w:eastAsia="微软雅黑" w:cs="微软雅黑"/>
                <w:i w:val="0"/>
                <w:iCs w:val="0"/>
                <w:color w:val="auto"/>
                <w:sz w:val="24"/>
                <w:szCs w:val="24"/>
                <w:highlight w:val="none"/>
                <w:lang w:val="en-US" w:eastAsia="zh-CN"/>
              </w:rPr>
              <w:t>供应商</w:t>
            </w:r>
            <w:r>
              <w:rPr>
                <w:rFonts w:hint="eastAsia" w:ascii="微软雅黑" w:hAnsi="微软雅黑" w:eastAsia="微软雅黑" w:cs="微软雅黑"/>
                <w:i w:val="0"/>
                <w:iCs w:val="0"/>
                <w:color w:val="auto"/>
                <w:sz w:val="24"/>
                <w:szCs w:val="24"/>
                <w:highlight w:val="none"/>
              </w:rPr>
              <w:t>需指定对接人（姓名：XXX，电话：XXX），负责响应我方咨询、订单调整及投诉。如有投诉反馈等，租赁方需针对问题在3个工作日内整改。</w:t>
            </w:r>
          </w:p>
        </w:tc>
      </w:tr>
      <w:tr w14:paraId="64D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009F1C5">
            <w:pPr>
              <w:numPr>
                <w:ilvl w:val="0"/>
                <w:numId w:val="4"/>
              </w:numPr>
              <w:adjustRightInd w:val="0"/>
              <w:snapToGrid w:val="0"/>
              <w:rPr>
                <w:rFonts w:hint="eastAsia" w:ascii="微软雅黑" w:hAnsi="微软雅黑" w:eastAsia="微软雅黑" w:cs="微软雅黑"/>
                <w:b/>
                <w:bCs/>
                <w:i w:val="0"/>
                <w:iCs w:val="0"/>
                <w:color w:val="auto"/>
                <w:sz w:val="24"/>
                <w:szCs w:val="24"/>
                <w:highlight w:val="none"/>
                <w:lang w:val="en-US" w:eastAsia="zh-CN"/>
              </w:rPr>
            </w:pPr>
            <w:r>
              <w:rPr>
                <w:rFonts w:hint="eastAsia" w:ascii="微软雅黑" w:hAnsi="微软雅黑" w:eastAsia="微软雅黑" w:cs="微软雅黑"/>
                <w:b/>
                <w:bCs/>
                <w:i w:val="0"/>
                <w:iCs w:val="0"/>
                <w:color w:val="auto"/>
                <w:sz w:val="24"/>
                <w:szCs w:val="24"/>
                <w:highlight w:val="none"/>
                <w:lang w:val="en-US" w:eastAsia="zh-CN"/>
              </w:rPr>
              <w:t>实质性条款（★标注）</w:t>
            </w:r>
          </w:p>
          <w:p w14:paraId="00F4F0C6">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以下条款为不可负偏离条款，不满足将作投标无效处理，采购方不承担任何补偿：</w:t>
            </w:r>
          </w:p>
          <w:p w14:paraId="1AB6E184">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★1.所有拟定投入服务用车均为供应商自有车辆或租赁车辆（中标后提供原件检查）</w:t>
            </w:r>
          </w:p>
          <w:p w14:paraId="55ABF02B">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★2.所有拟定投入服务用车证件齐全，年审在有效期内</w:t>
            </w:r>
          </w:p>
          <w:p w14:paraId="6C0D74EB">
            <w:pPr>
              <w:adjustRightInd w:val="0"/>
              <w:snapToGrid w:val="0"/>
              <w:ind w:right="120" w:rightChars="50"/>
              <w:jc w:val="left"/>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★3.所提供的</w:t>
            </w:r>
            <w:r>
              <w:rPr>
                <w:rFonts w:hint="eastAsia" w:ascii="微软雅黑" w:hAnsi="微软雅黑" w:eastAsia="微软雅黑" w:cs="微软雅黑"/>
                <w:i w:val="0"/>
                <w:iCs w:val="0"/>
                <w:caps w:val="0"/>
                <w:color w:val="auto"/>
                <w:spacing w:val="0"/>
                <w:sz w:val="24"/>
                <w:szCs w:val="24"/>
                <w:highlight w:val="none"/>
                <w:u w:val="none"/>
                <w:shd w:val="clear" w:fill="FFFFFF"/>
                <w:lang w:val="en-US" w:eastAsia="zh-CN"/>
              </w:rPr>
              <w:t>车辆需是运营性质的车辆，并</w:t>
            </w:r>
            <w:r>
              <w:rPr>
                <w:rFonts w:hint="eastAsia" w:ascii="微软雅黑" w:hAnsi="微软雅黑" w:eastAsia="微软雅黑" w:cs="微软雅黑"/>
                <w:i w:val="0"/>
                <w:iCs w:val="0"/>
                <w:color w:val="auto"/>
                <w:sz w:val="24"/>
                <w:szCs w:val="24"/>
                <w:highlight w:val="none"/>
                <w:lang w:val="en-US" w:eastAsia="zh-CN"/>
              </w:rPr>
              <w:t>须按照国家规定投保所有必须保险，保障司乘人员合法权益</w:t>
            </w:r>
          </w:p>
          <w:p w14:paraId="2BC9CD55">
            <w:pPr>
              <w:adjustRightInd w:val="0"/>
              <w:snapToGrid w:val="0"/>
              <w:ind w:right="120" w:rightChars="5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★4.服务期：自合同签订之日起1年，合同期结束或项目结算金额累计达到采购预算金额50000元时，该合同自动终止。（以先到者为准）</w:t>
            </w:r>
          </w:p>
        </w:tc>
      </w:tr>
      <w:tr w14:paraId="1C10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2"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0915B23">
            <w:pPr>
              <w:adjustRightInd w:val="0"/>
              <w:snapToGrid w:val="0"/>
              <w:jc w:val="left"/>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七、知识产权及保密：</w:t>
            </w:r>
          </w:p>
          <w:p w14:paraId="4BEB2C21">
            <w:pPr>
              <w:adjustRightInd w:val="0"/>
              <w:snapToGrid w:val="0"/>
              <w:ind w:right="120" w:rightChars="50"/>
              <w:rPr>
                <w:rFonts w:hint="eastAsia" w:ascii="微软雅黑" w:hAnsi="微软雅黑" w:eastAsia="微软雅黑" w:cs="微软雅黑"/>
                <w:i w:val="0"/>
                <w:iCs w:val="0"/>
                <w:color w:val="auto"/>
                <w:sz w:val="24"/>
                <w:szCs w:val="24"/>
                <w:highlight w:val="none"/>
                <w:lang w:bidi="zh-CN"/>
              </w:rPr>
            </w:pPr>
            <w:r>
              <w:rPr>
                <w:rFonts w:hint="eastAsia" w:ascii="微软雅黑" w:hAnsi="微软雅黑" w:eastAsia="微软雅黑" w:cs="微软雅黑"/>
                <w:i w:val="0"/>
                <w:iCs w:val="0"/>
                <w:color w:val="auto"/>
                <w:sz w:val="24"/>
                <w:szCs w:val="24"/>
                <w:highlight w:val="none"/>
                <w:lang w:bidi="zh-CN"/>
              </w:rPr>
              <w:t>1.成交供应商应保证其向采购人提供的本合同项下的货物或服务以及其中包含的任何一部分不侵犯任何第三方的作品、发明专利、商业秘密等知识产权。如因上述原因，第三方向采购人提起侵权诉讼，成交供应商负责交涉、处理并承担由此引起的全部法律及经济责任。</w:t>
            </w:r>
          </w:p>
          <w:p w14:paraId="6C8DEF14">
            <w:pPr>
              <w:adjustRightInd w:val="0"/>
              <w:snapToGrid w:val="0"/>
              <w:ind w:right="120" w:rightChars="50"/>
              <w:rPr>
                <w:rFonts w:hint="eastAsia" w:ascii="微软雅黑" w:hAnsi="微软雅黑" w:eastAsia="微软雅黑" w:cs="微软雅黑"/>
                <w:i w:val="0"/>
                <w:iCs w:val="0"/>
                <w:color w:val="auto"/>
                <w:sz w:val="24"/>
                <w:szCs w:val="24"/>
                <w:highlight w:val="none"/>
                <w:lang w:bidi="zh-CN"/>
              </w:rPr>
            </w:pPr>
            <w:r>
              <w:rPr>
                <w:rFonts w:hint="eastAsia" w:ascii="微软雅黑" w:hAnsi="微软雅黑" w:eastAsia="微软雅黑" w:cs="微软雅黑"/>
                <w:i w:val="0"/>
                <w:iCs w:val="0"/>
                <w:color w:val="auto"/>
                <w:sz w:val="24"/>
                <w:szCs w:val="24"/>
                <w:highlight w:val="none"/>
                <w:lang w:bidi="zh-CN"/>
              </w:rPr>
              <w:t>2.一方对另一方提供的技术资料、样件、图纸及其他与质量、技术、经营相关信息（包括但不限于价格、数量）有保密义务。双方应确保其人员及相关协作方承担保密义务。</w:t>
            </w:r>
          </w:p>
          <w:p w14:paraId="590A863D">
            <w:pPr>
              <w:adjustRightInd w:val="0"/>
              <w:snapToGrid w:val="0"/>
              <w:ind w:right="120" w:rightChars="50"/>
              <w:rPr>
                <w:rFonts w:hint="eastAsia" w:ascii="微软雅黑" w:hAnsi="微软雅黑" w:eastAsia="微软雅黑" w:cs="微软雅黑"/>
                <w:i w:val="0"/>
                <w:iCs w:val="0"/>
                <w:color w:val="auto"/>
                <w:sz w:val="24"/>
                <w:szCs w:val="24"/>
                <w:highlight w:val="none"/>
                <w:lang w:bidi="zh-CN"/>
              </w:rPr>
            </w:pPr>
            <w:r>
              <w:rPr>
                <w:rFonts w:hint="eastAsia" w:ascii="微软雅黑" w:hAnsi="微软雅黑" w:eastAsia="微软雅黑" w:cs="微软雅黑"/>
                <w:i w:val="0"/>
                <w:iCs w:val="0"/>
                <w:color w:val="auto"/>
                <w:sz w:val="24"/>
                <w:szCs w:val="24"/>
                <w:highlight w:val="none"/>
                <w:lang w:bidi="zh-CN"/>
              </w:rPr>
              <w:t>3.成交供应商保证，成交供应商依据本合同提供的货物或服务以及与之相关的软件和技术资料，成交供应商均已得到有关知识产权的权利人的合法授权，如发生涉及到专利权、著作权、商标权等争议，成交供应商负责交涉、处理，并承担由此引起的对第三人和采购人的全部法律及经济责任。</w:t>
            </w:r>
          </w:p>
          <w:p w14:paraId="45B225CE">
            <w:pPr>
              <w:adjustRightInd w:val="0"/>
              <w:snapToGrid w:val="0"/>
              <w:ind w:right="120" w:rightChars="5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bidi="zh-CN"/>
              </w:rPr>
              <w:t>4.本合同中涉及知识产权任何条款，在合同期限内及合同终止后持续有效。</w:t>
            </w:r>
          </w:p>
        </w:tc>
      </w:tr>
      <w:tr w14:paraId="3222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D6673E0">
            <w:pPr>
              <w:adjustRightInd w:val="0"/>
              <w:snapToGrid w:val="0"/>
              <w:ind w:right="120" w:rightChars="50"/>
              <w:jc w:val="left"/>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八、其他：</w:t>
            </w:r>
          </w:p>
          <w:p w14:paraId="4A402DF1">
            <w:pPr>
              <w:adjustRightInd w:val="0"/>
              <w:snapToGrid w:val="0"/>
              <w:ind w:right="120" w:rightChars="50"/>
              <w:jc w:val="left"/>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成交供应商在提供服务全流程过程中，发生的所有人身伤害或财产损失均由成交供应商自行承担全部责任。</w:t>
            </w:r>
          </w:p>
        </w:tc>
      </w:tr>
    </w:tbl>
    <w:p w14:paraId="78DEFCEA">
      <w:pPr>
        <w:spacing w:line="360" w:lineRule="auto"/>
        <w:rPr>
          <w:rFonts w:hint="eastAsia" w:ascii="微软雅黑" w:hAnsi="微软雅黑" w:eastAsia="微软雅黑" w:cs="微软雅黑"/>
          <w:i w:val="0"/>
          <w:iCs w:val="0"/>
          <w:color w:val="auto"/>
          <w:sz w:val="24"/>
          <w:szCs w:val="24"/>
          <w:highlight w:val="none"/>
          <w:lang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p>
    <w:p w14:paraId="33108BB0">
      <w:pPr>
        <w:spacing w:line="360" w:lineRule="auto"/>
        <w:jc w:val="center"/>
        <w:rPr>
          <w:rFonts w:hint="eastAsia" w:ascii="微软雅黑" w:hAnsi="微软雅黑" w:eastAsia="微软雅黑" w:cs="微软雅黑"/>
          <w:i w:val="0"/>
          <w:iCs w:val="0"/>
          <w:color w:val="auto"/>
          <w:sz w:val="24"/>
          <w:szCs w:val="24"/>
          <w:highlight w:val="none"/>
          <w:lang w:eastAsia="zh-CN"/>
        </w:rPr>
      </w:pPr>
      <w:r>
        <w:rPr>
          <w:rFonts w:hint="eastAsia" w:ascii="微软雅黑" w:hAnsi="微软雅黑" w:eastAsia="微软雅黑" w:cs="微软雅黑"/>
          <w:i w:val="0"/>
          <w:iCs w:val="0"/>
          <w:color w:val="auto"/>
          <w:sz w:val="24"/>
          <w:szCs w:val="24"/>
          <w:highlight w:val="none"/>
          <w:lang w:eastAsia="zh-CN"/>
        </w:rPr>
        <w:t>附：综合评分表</w:t>
      </w:r>
    </w:p>
    <w:p w14:paraId="4C2BB63C">
      <w:pPr>
        <w:pStyle w:val="6"/>
        <w:rPr>
          <w:rFonts w:hint="eastAsia" w:ascii="微软雅黑" w:hAnsi="微软雅黑" w:eastAsia="微软雅黑" w:cs="微软雅黑"/>
          <w:i w:val="0"/>
          <w:iCs w:val="0"/>
          <w:color w:val="auto"/>
          <w:sz w:val="24"/>
          <w:szCs w:val="24"/>
          <w:highlight w:val="none"/>
          <w:lang w:val="en-US" w:eastAsia="zh-CN"/>
        </w:rPr>
      </w:pP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2245"/>
        <w:gridCol w:w="5341"/>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i w:val="0"/>
                <w:iCs w:val="0"/>
                <w:color w:val="auto"/>
                <w:szCs w:val="21"/>
                <w:highlight w:val="none"/>
              </w:rPr>
            </w:pPr>
            <w:r>
              <w:rPr>
                <w:rFonts w:hint="eastAsia" w:ascii="微软雅黑" w:hAnsi="微软雅黑" w:eastAsia="微软雅黑" w:cs="微软雅黑"/>
                <w:i w:val="0"/>
                <w:iCs w:val="0"/>
                <w:color w:val="auto"/>
                <w:sz w:val="24"/>
                <w:szCs w:val="24"/>
                <w:highlight w:val="none"/>
                <w:lang w:val="en-US" w:eastAsia="zh-CN"/>
              </w:rPr>
              <w:tab/>
            </w:r>
            <w:r>
              <w:rPr>
                <w:rFonts w:hint="eastAsia" w:ascii="宋体" w:hAnsi="宋体" w:cs="宋体"/>
                <w:i w:val="0"/>
                <w:iCs w:val="0"/>
                <w:color w:val="auto"/>
                <w:szCs w:val="21"/>
                <w:highlight w:val="none"/>
              </w:rPr>
              <w:t>评审因素</w:t>
            </w:r>
          </w:p>
        </w:tc>
        <w:tc>
          <w:tcPr>
            <w:tcW w:w="7586" w:type="dxa"/>
            <w:gridSpan w:val="2"/>
            <w:noWrap/>
          </w:tcPr>
          <w:p w14:paraId="22C1D796">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分值构成</w:t>
            </w:r>
          </w:p>
        </w:tc>
        <w:tc>
          <w:tcPr>
            <w:tcW w:w="7586" w:type="dxa"/>
            <w:gridSpan w:val="2"/>
            <w:noWrap/>
          </w:tcPr>
          <w:p w14:paraId="0EE8D9D7">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lang w:eastAsia="zh-CN"/>
              </w:rPr>
              <w:t>商务技术</w:t>
            </w:r>
            <w:r>
              <w:rPr>
                <w:rFonts w:hint="eastAsia" w:ascii="宋体" w:hAnsi="宋体" w:cs="宋体"/>
                <w:i w:val="0"/>
                <w:iCs w:val="0"/>
                <w:color w:val="auto"/>
                <w:szCs w:val="21"/>
                <w:highlight w:val="none"/>
              </w:rPr>
              <w:t>部分</w:t>
            </w:r>
            <w:r>
              <w:rPr>
                <w:rFonts w:hint="eastAsia" w:ascii="宋体" w:hAnsi="宋体" w:cs="宋体"/>
                <w:i w:val="0"/>
                <w:iCs w:val="0"/>
                <w:color w:val="auto"/>
                <w:szCs w:val="21"/>
                <w:highlight w:val="none"/>
                <w:lang w:val="en-US" w:eastAsia="zh-CN"/>
              </w:rPr>
              <w:t>90</w:t>
            </w:r>
            <w:r>
              <w:rPr>
                <w:rFonts w:hint="eastAsia" w:ascii="宋体" w:hAnsi="宋体" w:cs="宋体"/>
                <w:i w:val="0"/>
                <w:iCs w:val="0"/>
                <w:color w:val="auto"/>
                <w:szCs w:val="21"/>
                <w:highlight w:val="none"/>
              </w:rPr>
              <w:t>.0分</w:t>
            </w:r>
          </w:p>
          <w:p w14:paraId="291C36ED">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价格得分10.0分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lang w:eastAsia="zh-CN"/>
              </w:rPr>
              <w:t>商务</w:t>
            </w:r>
            <w:r>
              <w:rPr>
                <w:rFonts w:hint="eastAsia" w:ascii="宋体" w:hAnsi="宋体" w:cs="宋体"/>
                <w:i w:val="0"/>
                <w:iCs w:val="0"/>
                <w:color w:val="auto"/>
                <w:szCs w:val="21"/>
                <w:highlight w:val="none"/>
              </w:rPr>
              <w:t>技术部分</w:t>
            </w:r>
          </w:p>
          <w:p w14:paraId="4E05E5EA">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90</w:t>
            </w:r>
            <w:r>
              <w:rPr>
                <w:rFonts w:hint="eastAsia" w:ascii="宋体" w:hAnsi="宋体" w:cs="宋体"/>
                <w:i w:val="0"/>
                <w:iCs w:val="0"/>
                <w:color w:val="auto"/>
                <w:szCs w:val="21"/>
                <w:highlight w:val="none"/>
              </w:rPr>
              <w:t>分）</w:t>
            </w:r>
          </w:p>
        </w:tc>
        <w:tc>
          <w:tcPr>
            <w:tcW w:w="2245" w:type="dxa"/>
            <w:noWrap/>
            <w:vAlign w:val="center"/>
          </w:tcPr>
          <w:p w14:paraId="0C2DF1ED">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项目实施方案</w:t>
            </w:r>
          </w:p>
          <w:p w14:paraId="289F16E8">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30</w:t>
            </w:r>
            <w:r>
              <w:rPr>
                <w:rFonts w:hint="eastAsia" w:ascii="宋体" w:hAnsi="宋体" w:cs="宋体"/>
                <w:i w:val="0"/>
                <w:iCs w:val="0"/>
                <w:color w:val="auto"/>
                <w:szCs w:val="21"/>
                <w:highlight w:val="none"/>
              </w:rPr>
              <w:t>分)</w:t>
            </w:r>
          </w:p>
        </w:tc>
        <w:tc>
          <w:tcPr>
            <w:tcW w:w="5341" w:type="dxa"/>
            <w:noWrap/>
          </w:tcPr>
          <w:p w14:paraId="07C9E26B">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根据供应商提供的实施方案（包括但不限于工作实施的各个阶段、各项工作的服务内容、服务目标、服务时间和进度计划等）进行评审：</w:t>
            </w:r>
          </w:p>
          <w:p w14:paraId="412C16AE">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1、</w:t>
            </w:r>
            <w:r>
              <w:rPr>
                <w:rFonts w:hint="eastAsia" w:ascii="宋体" w:hAnsi="宋体" w:cs="宋体"/>
                <w:i w:val="0"/>
                <w:iCs w:val="0"/>
                <w:color w:val="auto"/>
                <w:szCs w:val="21"/>
                <w:highlight w:val="none"/>
              </w:rPr>
              <w:t>实施方案涵盖上述所有内容，方案详细具体，能细化到采购需求的所有内容且详细具体，科学、实用和合理，完全满足或优于采购需求的，得</w:t>
            </w:r>
            <w:r>
              <w:rPr>
                <w:rFonts w:hint="eastAsia" w:ascii="宋体" w:hAnsi="宋体" w:cs="宋体"/>
                <w:i w:val="0"/>
                <w:iCs w:val="0"/>
                <w:color w:val="auto"/>
                <w:szCs w:val="21"/>
                <w:highlight w:val="none"/>
                <w:lang w:val="en-US" w:eastAsia="zh-CN"/>
              </w:rPr>
              <w:t>30</w:t>
            </w:r>
            <w:r>
              <w:rPr>
                <w:rFonts w:hint="eastAsia" w:ascii="宋体" w:hAnsi="宋体" w:cs="宋体"/>
                <w:i w:val="0"/>
                <w:iCs w:val="0"/>
                <w:color w:val="auto"/>
                <w:szCs w:val="21"/>
                <w:highlight w:val="none"/>
              </w:rPr>
              <w:t>分；</w:t>
            </w:r>
          </w:p>
          <w:p w14:paraId="53DC7291">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2、</w:t>
            </w:r>
            <w:r>
              <w:rPr>
                <w:rFonts w:hint="eastAsia" w:ascii="宋体" w:hAnsi="宋体" w:cs="宋体"/>
                <w:i w:val="0"/>
                <w:iCs w:val="0"/>
                <w:color w:val="auto"/>
                <w:szCs w:val="21"/>
                <w:highlight w:val="none"/>
              </w:rPr>
              <w:t>实施方案涵盖上述所有内容，方案较详细，能比较细化到采购需求的所有内容，较科学、比较实用和合理，比较满足采购需求的，得</w:t>
            </w:r>
            <w:r>
              <w:rPr>
                <w:rFonts w:hint="eastAsia" w:ascii="宋体" w:hAnsi="宋体" w:cs="宋体"/>
                <w:i w:val="0"/>
                <w:iCs w:val="0"/>
                <w:color w:val="auto"/>
                <w:szCs w:val="21"/>
                <w:highlight w:val="none"/>
                <w:lang w:val="en-US" w:eastAsia="zh-CN"/>
              </w:rPr>
              <w:t>20</w:t>
            </w:r>
            <w:r>
              <w:rPr>
                <w:rFonts w:hint="eastAsia" w:ascii="宋体" w:hAnsi="宋体" w:cs="宋体"/>
                <w:i w:val="0"/>
                <w:iCs w:val="0"/>
                <w:color w:val="auto"/>
                <w:szCs w:val="21"/>
                <w:highlight w:val="none"/>
              </w:rPr>
              <w:t>分；</w:t>
            </w:r>
          </w:p>
          <w:p w14:paraId="05C046BB">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3、</w:t>
            </w:r>
            <w:r>
              <w:rPr>
                <w:rFonts w:hint="eastAsia" w:ascii="宋体" w:hAnsi="宋体" w:cs="宋体"/>
                <w:i w:val="0"/>
                <w:iCs w:val="0"/>
                <w:color w:val="auto"/>
                <w:szCs w:val="21"/>
                <w:highlight w:val="none"/>
              </w:rPr>
              <w:t>实施方案涵盖上述所有内容，方案较完整，基本涵盖采购需求的所有内容，基本合理，基本满足采购需求的，得</w:t>
            </w:r>
            <w:r>
              <w:rPr>
                <w:rFonts w:hint="eastAsia" w:ascii="宋体" w:hAnsi="宋体" w:cs="宋体"/>
                <w:i w:val="0"/>
                <w:iCs w:val="0"/>
                <w:color w:val="auto"/>
                <w:szCs w:val="21"/>
                <w:highlight w:val="none"/>
                <w:lang w:val="en-US" w:eastAsia="zh-CN"/>
              </w:rPr>
              <w:t>10</w:t>
            </w:r>
            <w:r>
              <w:rPr>
                <w:rFonts w:hint="eastAsia" w:ascii="宋体" w:hAnsi="宋体" w:cs="宋体"/>
                <w:i w:val="0"/>
                <w:iCs w:val="0"/>
                <w:color w:val="auto"/>
                <w:szCs w:val="21"/>
                <w:highlight w:val="none"/>
              </w:rPr>
              <w:t>分；</w:t>
            </w:r>
          </w:p>
          <w:p w14:paraId="412CA7D3">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4、</w:t>
            </w:r>
            <w:r>
              <w:rPr>
                <w:rFonts w:hint="eastAsia" w:ascii="宋体" w:hAnsi="宋体" w:cs="宋体"/>
                <w:i w:val="0"/>
                <w:iCs w:val="0"/>
                <w:color w:val="auto"/>
                <w:szCs w:val="21"/>
                <w:highlight w:val="none"/>
              </w:rPr>
              <w:t>实施方案未涵盖上述所有内容，方案不够完整，未涵盖采购需求的所有内容，不够合理，不够满足采购需求的，得</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p w14:paraId="675F0CDC">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注：无相关方案的，不得分。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i w:val="0"/>
                <w:iCs w:val="0"/>
                <w:color w:val="auto"/>
                <w:szCs w:val="21"/>
                <w:highlight w:val="none"/>
              </w:rPr>
            </w:pPr>
          </w:p>
        </w:tc>
        <w:tc>
          <w:tcPr>
            <w:tcW w:w="2245" w:type="dxa"/>
            <w:noWrap/>
            <w:vAlign w:val="center"/>
          </w:tcPr>
          <w:p w14:paraId="1D7CBAB2">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应急处置方案</w:t>
            </w:r>
          </w:p>
          <w:p w14:paraId="7CB6B730">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20</w:t>
            </w:r>
            <w:r>
              <w:rPr>
                <w:rFonts w:hint="eastAsia" w:ascii="宋体" w:hAnsi="宋体" w:cs="宋体"/>
                <w:i w:val="0"/>
                <w:iCs w:val="0"/>
                <w:color w:val="auto"/>
                <w:szCs w:val="21"/>
                <w:highlight w:val="none"/>
              </w:rPr>
              <w:t>分)</w:t>
            </w:r>
          </w:p>
        </w:tc>
        <w:tc>
          <w:tcPr>
            <w:tcW w:w="5341" w:type="dxa"/>
            <w:noWrap/>
          </w:tcPr>
          <w:p w14:paraId="69878A2C">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根据供应商所提供的应急预案进行横向比较，分档评分：</w:t>
            </w:r>
          </w:p>
          <w:p w14:paraId="7E8000A2">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1.服务应急方案详细且合理，完全满足要求，得</w:t>
            </w:r>
            <w:r>
              <w:rPr>
                <w:rFonts w:hint="eastAsia" w:ascii="宋体" w:hAnsi="宋体" w:cs="宋体"/>
                <w:i w:val="0"/>
                <w:iCs w:val="0"/>
                <w:color w:val="auto"/>
                <w:szCs w:val="21"/>
                <w:highlight w:val="none"/>
                <w:lang w:val="en-US" w:eastAsia="zh-CN"/>
              </w:rPr>
              <w:t>20</w:t>
            </w:r>
            <w:r>
              <w:rPr>
                <w:rFonts w:hint="eastAsia" w:ascii="宋体" w:hAnsi="宋体" w:cs="宋体"/>
                <w:i w:val="0"/>
                <w:iCs w:val="0"/>
                <w:color w:val="auto"/>
                <w:szCs w:val="21"/>
                <w:highlight w:val="none"/>
              </w:rPr>
              <w:t>分；</w:t>
            </w:r>
          </w:p>
          <w:p w14:paraId="0A462D58">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2.</w:t>
            </w:r>
            <w:r>
              <w:rPr>
                <w:rFonts w:hint="eastAsia" w:ascii="宋体" w:hAnsi="宋体" w:cs="宋体"/>
                <w:i w:val="0"/>
                <w:iCs w:val="0"/>
                <w:color w:val="auto"/>
                <w:szCs w:val="21"/>
                <w:highlight w:val="none"/>
              </w:rPr>
              <w:t>服务应急方案较合理，能满足要求，得</w:t>
            </w:r>
            <w:r>
              <w:rPr>
                <w:rFonts w:hint="eastAsia" w:ascii="宋体" w:hAnsi="宋体" w:cs="宋体"/>
                <w:i w:val="0"/>
                <w:iCs w:val="0"/>
                <w:color w:val="auto"/>
                <w:szCs w:val="21"/>
                <w:highlight w:val="none"/>
                <w:lang w:val="en-US" w:eastAsia="zh-CN"/>
              </w:rPr>
              <w:t>15</w:t>
            </w:r>
            <w:r>
              <w:rPr>
                <w:rFonts w:hint="eastAsia" w:ascii="宋体" w:hAnsi="宋体" w:cs="宋体"/>
                <w:i w:val="0"/>
                <w:iCs w:val="0"/>
                <w:color w:val="auto"/>
                <w:szCs w:val="21"/>
                <w:highlight w:val="none"/>
              </w:rPr>
              <w:t xml:space="preserve">分； </w:t>
            </w:r>
          </w:p>
          <w:p w14:paraId="0DE52862">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3.</w:t>
            </w:r>
            <w:r>
              <w:rPr>
                <w:rFonts w:hint="eastAsia" w:ascii="宋体" w:hAnsi="宋体" w:cs="宋体"/>
                <w:i w:val="0"/>
                <w:iCs w:val="0"/>
                <w:color w:val="auto"/>
                <w:szCs w:val="21"/>
                <w:highlight w:val="none"/>
              </w:rPr>
              <w:t>服务应急方案有缺陷，能基本满足要求，得</w:t>
            </w:r>
            <w:r>
              <w:rPr>
                <w:rFonts w:hint="eastAsia" w:ascii="宋体" w:hAnsi="宋体" w:cs="宋体"/>
                <w:i w:val="0"/>
                <w:iCs w:val="0"/>
                <w:color w:val="auto"/>
                <w:szCs w:val="21"/>
                <w:highlight w:val="none"/>
                <w:lang w:val="en-US" w:eastAsia="zh-CN"/>
              </w:rPr>
              <w:t>10</w:t>
            </w:r>
            <w:r>
              <w:rPr>
                <w:rFonts w:hint="eastAsia" w:ascii="宋体" w:hAnsi="宋体" w:cs="宋体"/>
                <w:i w:val="0"/>
                <w:iCs w:val="0"/>
                <w:color w:val="auto"/>
                <w:szCs w:val="21"/>
                <w:highlight w:val="none"/>
              </w:rPr>
              <w:t xml:space="preserve">分； </w:t>
            </w:r>
          </w:p>
          <w:p w14:paraId="152F0276">
            <w:pPr>
              <w:numPr>
                <w:ilvl w:val="0"/>
                <w:numId w:val="0"/>
              </w:numPr>
              <w:spacing w:line="360" w:lineRule="auto"/>
              <w:ind w:left="0" w:leftChars="0" w:firstLine="0" w:firstLineChars="0"/>
              <w:rPr>
                <w:rFonts w:hint="eastAsia" w:ascii="宋体" w:hAnsi="宋体" w:cs="宋体"/>
                <w:i w:val="0"/>
                <w:iCs w:val="0"/>
                <w:color w:val="auto"/>
                <w:szCs w:val="21"/>
                <w:highlight w:val="none"/>
              </w:rPr>
            </w:pPr>
            <w:r>
              <w:rPr>
                <w:rFonts w:hint="eastAsia" w:ascii="宋体" w:hAnsi="宋体" w:eastAsia="宋体" w:cs="宋体"/>
                <w:i w:val="0"/>
                <w:iCs w:val="0"/>
                <w:color w:val="auto"/>
                <w:kern w:val="2"/>
                <w:sz w:val="24"/>
                <w:szCs w:val="21"/>
                <w:highlight w:val="none"/>
                <w:lang w:val="en-US" w:eastAsia="zh-CN" w:bidi="ar-SA"/>
              </w:rPr>
              <w:t>4.</w:t>
            </w:r>
            <w:r>
              <w:rPr>
                <w:rFonts w:hint="eastAsia" w:ascii="宋体" w:hAnsi="宋体" w:cs="宋体"/>
                <w:i w:val="0"/>
                <w:iCs w:val="0"/>
                <w:color w:val="auto"/>
                <w:szCs w:val="21"/>
                <w:highlight w:val="none"/>
              </w:rPr>
              <w:t>服务应急方案不合理，得</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p w14:paraId="7CAE3480">
            <w:pPr>
              <w:numPr>
                <w:ilvl w:val="0"/>
                <w:numId w:val="0"/>
              </w:numPr>
              <w:spacing w:line="360" w:lineRule="auto"/>
              <w:ind w:leftChars="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注：无相关方案的，不得分。</w:t>
            </w:r>
          </w:p>
        </w:tc>
      </w:tr>
      <w:tr w14:paraId="5A1DD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64" w:hRule="atLeast"/>
          <w:jc w:val="center"/>
        </w:trPr>
        <w:tc>
          <w:tcPr>
            <w:tcW w:w="1862" w:type="dxa"/>
            <w:vMerge w:val="continue"/>
            <w:noWrap/>
            <w:vAlign w:val="center"/>
          </w:tcPr>
          <w:p w14:paraId="25D20DF6">
            <w:pPr>
              <w:spacing w:line="360" w:lineRule="auto"/>
              <w:jc w:val="center"/>
              <w:rPr>
                <w:rFonts w:ascii="宋体" w:hAnsi="宋体" w:cs="宋体"/>
                <w:i w:val="0"/>
                <w:iCs w:val="0"/>
                <w:color w:val="auto"/>
                <w:szCs w:val="21"/>
                <w:highlight w:val="none"/>
              </w:rPr>
            </w:pPr>
          </w:p>
        </w:tc>
        <w:tc>
          <w:tcPr>
            <w:tcW w:w="2245" w:type="dxa"/>
            <w:noWrap/>
            <w:vAlign w:val="center"/>
          </w:tcPr>
          <w:p w14:paraId="1056AF2A">
            <w:pPr>
              <w:spacing w:line="360" w:lineRule="auto"/>
              <w:jc w:val="center"/>
              <w:rPr>
                <w:rFonts w:hint="eastAsia" w:ascii="宋体" w:hAnsi="宋体" w:cs="宋体"/>
                <w:i w:val="0"/>
                <w:iCs w:val="0"/>
                <w:color w:val="auto"/>
                <w:szCs w:val="21"/>
                <w:highlight w:val="none"/>
                <w:lang w:val="en-US" w:eastAsia="zh-CN"/>
              </w:rPr>
            </w:pPr>
            <w:r>
              <w:rPr>
                <w:rFonts w:hint="eastAsia" w:ascii="宋体" w:hAnsi="宋体" w:cs="宋体"/>
                <w:i w:val="0"/>
                <w:iCs w:val="0"/>
                <w:color w:val="auto"/>
                <w:szCs w:val="21"/>
                <w:highlight w:val="none"/>
                <w:lang w:val="en-US" w:eastAsia="zh-CN"/>
              </w:rPr>
              <w:t>车辆配置情况</w:t>
            </w:r>
          </w:p>
          <w:p w14:paraId="2927E6BA">
            <w:pPr>
              <w:pStyle w:val="6"/>
              <w:jc w:val="center"/>
              <w:rPr>
                <w:rFonts w:hint="eastAsia"/>
                <w:i w:val="0"/>
                <w:iCs w:val="0"/>
                <w:color w:val="auto"/>
                <w:highlight w:val="none"/>
                <w:lang w:val="en-US" w:eastAsia="zh-CN"/>
              </w:rPr>
            </w:pPr>
            <w:r>
              <w:rPr>
                <w:rFonts w:hint="eastAsia" w:ascii="宋体" w:hAnsi="宋体" w:cs="宋体"/>
                <w:i w:val="0"/>
                <w:iCs w:val="0"/>
                <w:color w:val="auto"/>
                <w:szCs w:val="21"/>
                <w:highlight w:val="none"/>
                <w:lang w:val="en-US" w:eastAsia="zh-CN"/>
              </w:rPr>
              <w:t>（10分）</w:t>
            </w:r>
          </w:p>
        </w:tc>
        <w:tc>
          <w:tcPr>
            <w:tcW w:w="5341" w:type="dxa"/>
            <w:noWrap/>
          </w:tcPr>
          <w:p w14:paraId="4DC3A306">
            <w:pPr>
              <w:numPr>
                <w:ilvl w:val="0"/>
                <w:numId w:val="0"/>
              </w:numPr>
              <w:spacing w:line="36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1.</w:t>
            </w:r>
            <w:r>
              <w:rPr>
                <w:rFonts w:hint="eastAsia" w:ascii="宋体" w:hAnsi="宋体" w:eastAsia="宋体" w:cs="宋体"/>
                <w:i w:val="0"/>
                <w:iCs w:val="0"/>
                <w:color w:val="auto"/>
                <w:szCs w:val="21"/>
                <w:highlight w:val="none"/>
              </w:rPr>
              <w:t>拟投入车辆平均车龄≤2年得5分，≤3年得3分</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w:t>
            </w:r>
            <w:r>
              <w:rPr>
                <w:rFonts w:hint="eastAsia" w:ascii="宋体" w:hAnsi="宋体" w:eastAsia="宋体" w:cs="宋体"/>
                <w:i w:val="0"/>
                <w:iCs w:val="0"/>
                <w:color w:val="auto"/>
                <w:szCs w:val="21"/>
                <w:highlight w:val="none"/>
                <w:lang w:val="en-US" w:eastAsia="zh-CN"/>
              </w:rPr>
              <w:t>5年得1分</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需提供平均车龄数据</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w:t>
            </w:r>
          </w:p>
          <w:p w14:paraId="61028500">
            <w:pPr>
              <w:spacing w:line="36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rPr>
              <w:t>.所有车辆承运人责任险、第三者责任险</w:t>
            </w:r>
            <w:r>
              <w:rPr>
                <w:rFonts w:hint="eastAsia" w:ascii="宋体" w:hAnsi="宋体" w:cs="宋体"/>
                <w:i w:val="0"/>
                <w:iCs w:val="0"/>
                <w:color w:val="auto"/>
                <w:szCs w:val="21"/>
                <w:highlight w:val="none"/>
                <w:lang w:val="en-US" w:eastAsia="zh-CN"/>
              </w:rPr>
              <w:t>等保险及</w:t>
            </w:r>
            <w:r>
              <w:rPr>
                <w:rFonts w:hint="eastAsia" w:ascii="宋体" w:hAnsi="宋体" w:eastAsia="宋体" w:cs="宋体"/>
                <w:i w:val="0"/>
                <w:iCs w:val="0"/>
                <w:color w:val="auto"/>
                <w:szCs w:val="21"/>
                <w:highlight w:val="none"/>
                <w:lang w:val="en-US" w:eastAsia="zh-CN"/>
              </w:rPr>
              <w:t>年检合格证明</w:t>
            </w:r>
            <w:r>
              <w:rPr>
                <w:rFonts w:hint="eastAsia" w:ascii="宋体" w:hAnsi="宋体" w:eastAsia="宋体" w:cs="宋体"/>
                <w:i w:val="0"/>
                <w:iCs w:val="0"/>
                <w:color w:val="auto"/>
                <w:szCs w:val="21"/>
                <w:highlight w:val="none"/>
              </w:rPr>
              <w:t>齐全且在有效期内</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得</w:t>
            </w:r>
            <w:r>
              <w:rPr>
                <w:rFonts w:hint="eastAsia" w:ascii="宋体" w:hAnsi="宋体" w:eastAsia="宋体" w:cs="宋体"/>
                <w:i w:val="0"/>
                <w:iCs w:val="0"/>
                <w:color w:val="auto"/>
                <w:szCs w:val="21"/>
                <w:highlight w:val="none"/>
                <w:lang w:val="en-US" w:eastAsia="zh-CN"/>
              </w:rPr>
              <w:t>3</w:t>
            </w:r>
            <w:r>
              <w:rPr>
                <w:rFonts w:hint="eastAsia" w:ascii="宋体" w:hAnsi="宋体" w:eastAsia="宋体" w:cs="宋体"/>
                <w:i w:val="0"/>
                <w:iCs w:val="0"/>
                <w:color w:val="auto"/>
                <w:szCs w:val="21"/>
                <w:highlight w:val="none"/>
              </w:rPr>
              <w:t>分。</w:t>
            </w:r>
          </w:p>
          <w:p w14:paraId="6B7002D1">
            <w:pPr>
              <w:spacing w:line="360" w:lineRule="auto"/>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3.</w:t>
            </w:r>
            <w:r>
              <w:rPr>
                <w:rFonts w:hint="eastAsia" w:ascii="宋体" w:hAnsi="宋体" w:eastAsia="宋体" w:cs="宋体"/>
                <w:i w:val="0"/>
                <w:iCs w:val="0"/>
                <w:color w:val="auto"/>
                <w:szCs w:val="21"/>
                <w:highlight w:val="none"/>
              </w:rPr>
              <w:t>有完善的车辆日常检查、维修保养制度</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得</w:t>
            </w:r>
            <w:r>
              <w:rPr>
                <w:rFonts w:hint="eastAsia" w:ascii="宋体" w:hAnsi="宋体" w:eastAsia="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rPr>
              <w:t>分</w:t>
            </w:r>
            <w:r>
              <w:rPr>
                <w:rFonts w:hint="eastAsia" w:ascii="宋体" w:hAnsi="宋体" w:eastAsia="宋体" w:cs="宋体"/>
                <w:i w:val="0"/>
                <w:iCs w:val="0"/>
                <w:color w:val="auto"/>
                <w:szCs w:val="21"/>
                <w:highlight w:val="none"/>
                <w:lang w:eastAsia="zh-CN"/>
              </w:rPr>
              <w:t>。</w:t>
            </w:r>
          </w:p>
        </w:tc>
      </w:tr>
      <w:tr w14:paraId="02B03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8" w:hRule="atLeast"/>
          <w:jc w:val="center"/>
        </w:trPr>
        <w:tc>
          <w:tcPr>
            <w:tcW w:w="1862" w:type="dxa"/>
            <w:vMerge w:val="continue"/>
            <w:noWrap/>
            <w:vAlign w:val="center"/>
          </w:tcPr>
          <w:p w14:paraId="6E90C00F">
            <w:pPr>
              <w:spacing w:line="360" w:lineRule="auto"/>
              <w:jc w:val="center"/>
              <w:rPr>
                <w:rFonts w:ascii="宋体" w:hAnsi="宋体" w:cs="宋体"/>
                <w:i w:val="0"/>
                <w:iCs w:val="0"/>
                <w:color w:val="auto"/>
                <w:szCs w:val="21"/>
                <w:highlight w:val="none"/>
              </w:rPr>
            </w:pPr>
          </w:p>
        </w:tc>
        <w:tc>
          <w:tcPr>
            <w:tcW w:w="2245" w:type="dxa"/>
            <w:noWrap/>
            <w:vAlign w:val="center"/>
          </w:tcPr>
          <w:p w14:paraId="2B021F3D">
            <w:pPr>
              <w:spacing w:line="360" w:lineRule="auto"/>
              <w:jc w:val="center"/>
              <w:rPr>
                <w:rFonts w:hint="eastAsia" w:ascii="宋体" w:hAnsi="宋体" w:cs="宋体"/>
                <w:i w:val="0"/>
                <w:iCs w:val="0"/>
                <w:color w:val="auto"/>
                <w:szCs w:val="21"/>
                <w:highlight w:val="none"/>
                <w:lang w:val="en-US" w:eastAsia="zh-CN"/>
              </w:rPr>
            </w:pPr>
            <w:r>
              <w:rPr>
                <w:rFonts w:hint="eastAsia" w:ascii="宋体" w:hAnsi="宋体" w:cs="宋体"/>
                <w:i w:val="0"/>
                <w:iCs w:val="0"/>
                <w:color w:val="auto"/>
                <w:szCs w:val="21"/>
                <w:highlight w:val="none"/>
                <w:lang w:val="en-US" w:eastAsia="zh-CN"/>
              </w:rPr>
              <w:t>人员配置情况</w:t>
            </w:r>
          </w:p>
          <w:p w14:paraId="09A10494">
            <w:pPr>
              <w:pStyle w:val="6"/>
              <w:jc w:val="center"/>
              <w:rPr>
                <w:rFonts w:hint="eastAsia"/>
                <w:i w:val="0"/>
                <w:iCs w:val="0"/>
                <w:color w:val="auto"/>
                <w:highlight w:val="none"/>
                <w:lang w:val="en-US" w:eastAsia="zh-CN"/>
              </w:rPr>
            </w:pPr>
            <w:r>
              <w:rPr>
                <w:rFonts w:hint="eastAsia"/>
                <w:i w:val="0"/>
                <w:iCs w:val="0"/>
                <w:color w:val="auto"/>
                <w:highlight w:val="none"/>
                <w:lang w:val="en-US" w:eastAsia="zh-CN"/>
              </w:rPr>
              <w:t>（10分）</w:t>
            </w:r>
          </w:p>
        </w:tc>
        <w:tc>
          <w:tcPr>
            <w:tcW w:w="5341" w:type="dxa"/>
            <w:noWrap/>
          </w:tcPr>
          <w:p w14:paraId="6F0C1225">
            <w:pPr>
              <w:numPr>
                <w:ilvl w:val="0"/>
                <w:numId w:val="0"/>
              </w:numPr>
              <w:adjustRightInd w:val="0"/>
              <w:snapToGrid w:val="0"/>
              <w:ind w:right="120" w:rightChars="5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2"/>
                <w:sz w:val="24"/>
                <w:szCs w:val="21"/>
                <w:highlight w:val="none"/>
                <w:lang w:val="en-US" w:eastAsia="zh-CN" w:bidi="ar-SA"/>
              </w:rPr>
              <w:t>1.</w:t>
            </w:r>
            <w:r>
              <w:rPr>
                <w:rFonts w:hint="eastAsia" w:ascii="宋体" w:hAnsi="宋体" w:eastAsia="宋体" w:cs="宋体"/>
                <w:i w:val="0"/>
                <w:iCs w:val="0"/>
                <w:color w:val="auto"/>
                <w:szCs w:val="21"/>
                <w:highlight w:val="none"/>
              </w:rPr>
              <w:t>驾驶员驾龄≥5年</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驾驶证、从业资格证、近3年无重大交通事故证明</w:t>
            </w:r>
            <w:r>
              <w:rPr>
                <w:rFonts w:hint="eastAsia" w:ascii="宋体" w:hAnsi="宋体" w:eastAsia="宋体" w:cs="宋体"/>
                <w:i w:val="0"/>
                <w:iCs w:val="0"/>
                <w:color w:val="auto"/>
                <w:szCs w:val="21"/>
                <w:highlight w:val="none"/>
              </w:rPr>
              <w:t>、无犯罪记录证明齐全，每提供1人档案得0.5分，最高5分；</w:t>
            </w:r>
          </w:p>
          <w:p w14:paraId="4F190DA1">
            <w:pPr>
              <w:numPr>
                <w:ilvl w:val="0"/>
                <w:numId w:val="0"/>
              </w:numPr>
              <w:adjustRightInd w:val="0"/>
              <w:snapToGrid w:val="0"/>
              <w:ind w:right="120" w:rightChars="50"/>
              <w:jc w:val="left"/>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rPr>
              <w:t>有定期培训及考核机制</w:t>
            </w:r>
            <w:r>
              <w:rPr>
                <w:rFonts w:hint="eastAsia" w:ascii="宋体" w:hAnsi="宋体" w:eastAsia="宋体" w:cs="宋体"/>
                <w:i w:val="0"/>
                <w:iCs w:val="0"/>
                <w:color w:val="auto"/>
                <w:szCs w:val="21"/>
                <w:highlight w:val="none"/>
                <w:lang w:val="en-US" w:eastAsia="zh-CN"/>
              </w:rPr>
              <w:t>并提供培训和考核资料的，</w:t>
            </w:r>
            <w:r>
              <w:rPr>
                <w:rFonts w:hint="eastAsia" w:ascii="宋体" w:hAnsi="宋体" w:eastAsia="宋体" w:cs="宋体"/>
                <w:i w:val="0"/>
                <w:iCs w:val="0"/>
                <w:color w:val="auto"/>
                <w:szCs w:val="21"/>
                <w:highlight w:val="none"/>
              </w:rPr>
              <w:t>得3分</w:t>
            </w:r>
            <w:r>
              <w:rPr>
                <w:rFonts w:hint="eastAsia" w:ascii="宋体" w:hAnsi="宋体" w:eastAsia="宋体" w:cs="宋体"/>
                <w:i w:val="0"/>
                <w:iCs w:val="0"/>
                <w:color w:val="auto"/>
                <w:szCs w:val="21"/>
                <w:highlight w:val="none"/>
                <w:lang w:eastAsia="zh-CN"/>
              </w:rPr>
              <w:t>；</w:t>
            </w:r>
          </w:p>
          <w:p w14:paraId="10A57489">
            <w:pPr>
              <w:pStyle w:val="6"/>
              <w:rPr>
                <w:rFonts w:hint="default"/>
                <w:i w:val="0"/>
                <w:iCs w:val="0"/>
                <w:color w:val="auto"/>
                <w:highlight w:val="none"/>
                <w:lang w:val="en-US"/>
              </w:rPr>
            </w:pPr>
            <w:r>
              <w:rPr>
                <w:rFonts w:hint="eastAsia" w:ascii="宋体" w:hAnsi="宋体" w:eastAsia="宋体" w:cs="宋体"/>
                <w:i w:val="0"/>
                <w:iCs w:val="0"/>
                <w:color w:val="auto"/>
                <w:szCs w:val="21"/>
                <w:highlight w:val="none"/>
                <w:lang w:val="en-US" w:eastAsia="zh-CN"/>
              </w:rPr>
              <w:t>3.配备项目负责人、专职安全员、车队调度员、维修专员，岗位齐全且提供对应资质/劳动合同得2分。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02313FC4">
            <w:pPr>
              <w:spacing w:line="360" w:lineRule="auto"/>
              <w:jc w:val="center"/>
              <w:rPr>
                <w:rFonts w:ascii="宋体" w:hAnsi="宋体" w:cs="宋体"/>
                <w:i w:val="0"/>
                <w:iCs w:val="0"/>
                <w:color w:val="auto"/>
                <w:szCs w:val="21"/>
                <w:highlight w:val="none"/>
              </w:rPr>
            </w:pPr>
          </w:p>
        </w:tc>
        <w:tc>
          <w:tcPr>
            <w:tcW w:w="2245" w:type="dxa"/>
            <w:noWrap/>
            <w:vAlign w:val="center"/>
          </w:tcPr>
          <w:p w14:paraId="6A428AAD">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同类项目业绩</w:t>
            </w:r>
          </w:p>
          <w:p w14:paraId="4F5CCC31">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15</w:t>
            </w:r>
            <w:r>
              <w:rPr>
                <w:rFonts w:hint="eastAsia" w:ascii="宋体" w:hAnsi="宋体" w:cs="宋体"/>
                <w:i w:val="0"/>
                <w:iCs w:val="0"/>
                <w:color w:val="auto"/>
                <w:szCs w:val="21"/>
                <w:highlight w:val="none"/>
              </w:rPr>
              <w:t>分)</w:t>
            </w:r>
          </w:p>
        </w:tc>
        <w:tc>
          <w:tcPr>
            <w:tcW w:w="5341" w:type="dxa"/>
            <w:noWrap/>
          </w:tcPr>
          <w:p w14:paraId="68EF365D">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供应商自202</w:t>
            </w:r>
            <w:r>
              <w:rPr>
                <w:rFonts w:hint="eastAsia" w:ascii="宋体" w:hAnsi="宋体" w:cs="宋体"/>
                <w:i w:val="0"/>
                <w:iCs w:val="0"/>
                <w:color w:val="auto"/>
                <w:szCs w:val="21"/>
                <w:highlight w:val="none"/>
                <w:lang w:val="en-US" w:eastAsia="zh-CN"/>
              </w:rPr>
              <w:t>3</w:t>
            </w:r>
            <w:r>
              <w:rPr>
                <w:rFonts w:hint="eastAsia" w:ascii="宋体" w:hAnsi="宋体" w:cs="宋体"/>
                <w:i w:val="0"/>
                <w:iCs w:val="0"/>
                <w:color w:val="auto"/>
                <w:szCs w:val="21"/>
                <w:highlight w:val="none"/>
              </w:rPr>
              <w:t>年1月1日以来（以合同生效时间为准）承接过的同类项目业绩合同，每提供一个同类项目合同得</w:t>
            </w:r>
            <w:r>
              <w:rPr>
                <w:rFonts w:hint="eastAsia" w:ascii="宋体" w:hAnsi="宋体" w:cs="宋体"/>
                <w:i w:val="0"/>
                <w:iCs w:val="0"/>
                <w:color w:val="auto"/>
                <w:szCs w:val="21"/>
                <w:highlight w:val="none"/>
                <w:lang w:val="en-US" w:eastAsia="zh-CN"/>
              </w:rPr>
              <w:t>3</w:t>
            </w:r>
            <w:r>
              <w:rPr>
                <w:rFonts w:hint="eastAsia" w:ascii="宋体" w:hAnsi="宋体" w:cs="宋体"/>
                <w:i w:val="0"/>
                <w:iCs w:val="0"/>
                <w:color w:val="auto"/>
                <w:szCs w:val="21"/>
                <w:highlight w:val="none"/>
              </w:rPr>
              <w:t>分；本项最高得</w:t>
            </w:r>
            <w:r>
              <w:rPr>
                <w:rFonts w:hint="eastAsia" w:ascii="宋体" w:hAnsi="宋体" w:cs="宋体"/>
                <w:i w:val="0"/>
                <w:iCs w:val="0"/>
                <w:color w:val="auto"/>
                <w:szCs w:val="21"/>
                <w:highlight w:val="none"/>
                <w:lang w:val="en-US" w:eastAsia="zh-CN"/>
              </w:rPr>
              <w:t>15</w:t>
            </w:r>
            <w:r>
              <w:rPr>
                <w:rFonts w:hint="eastAsia" w:ascii="宋体" w:hAnsi="宋体" w:cs="宋体"/>
                <w:i w:val="0"/>
                <w:iCs w:val="0"/>
                <w:color w:val="auto"/>
                <w:szCs w:val="21"/>
                <w:highlight w:val="none"/>
              </w:rPr>
              <w:t>分。</w:t>
            </w:r>
          </w:p>
          <w:p w14:paraId="07205AB1">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i w:val="0"/>
                <w:iCs w:val="0"/>
                <w:color w:val="auto"/>
                <w:szCs w:val="21"/>
                <w:highlight w:val="none"/>
              </w:rPr>
            </w:pPr>
          </w:p>
        </w:tc>
        <w:tc>
          <w:tcPr>
            <w:tcW w:w="2245" w:type="dxa"/>
            <w:noWrap/>
            <w:vAlign w:val="center"/>
          </w:tcPr>
          <w:p w14:paraId="25C8E696">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客户服务评价（依据提供的同类项目业绩的业主评价）</w:t>
            </w:r>
          </w:p>
          <w:p w14:paraId="12CBB50E">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tc>
        <w:tc>
          <w:tcPr>
            <w:tcW w:w="5341" w:type="dxa"/>
            <w:noWrap/>
          </w:tcPr>
          <w:p w14:paraId="45C69B72">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每提供一份202</w:t>
            </w:r>
            <w:r>
              <w:rPr>
                <w:rFonts w:hint="eastAsia" w:ascii="宋体" w:hAnsi="宋体" w:cs="宋体"/>
                <w:i w:val="0"/>
                <w:iCs w:val="0"/>
                <w:color w:val="auto"/>
                <w:szCs w:val="21"/>
                <w:highlight w:val="none"/>
                <w:lang w:val="en-US" w:eastAsia="zh-CN"/>
              </w:rPr>
              <w:t>3</w:t>
            </w:r>
            <w:r>
              <w:rPr>
                <w:rFonts w:hint="eastAsia" w:ascii="宋体" w:hAnsi="宋体" w:cs="宋体"/>
                <w:i w:val="0"/>
                <w:iCs w:val="0"/>
                <w:color w:val="auto"/>
                <w:szCs w:val="21"/>
                <w:highlight w:val="none"/>
              </w:rPr>
              <w:t>年以来提供的同类项目业绩的评价为满意或优或优秀等正面评价的，每个用户评价得</w:t>
            </w:r>
            <w:r>
              <w:rPr>
                <w:rFonts w:hint="eastAsia" w:ascii="宋体" w:hAnsi="宋体" w:cs="宋体"/>
                <w:i w:val="0"/>
                <w:iCs w:val="0"/>
                <w:color w:val="auto"/>
                <w:szCs w:val="21"/>
                <w:highlight w:val="none"/>
                <w:lang w:val="en-US" w:eastAsia="zh-CN"/>
              </w:rPr>
              <w:t>1</w:t>
            </w:r>
            <w:r>
              <w:rPr>
                <w:rFonts w:hint="eastAsia" w:ascii="宋体" w:hAnsi="宋体" w:cs="宋体"/>
                <w:i w:val="0"/>
                <w:iCs w:val="0"/>
                <w:color w:val="auto"/>
                <w:szCs w:val="21"/>
                <w:highlight w:val="none"/>
              </w:rPr>
              <w:t>分。本项最高得</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bookmarkStart w:id="0" w:name="_GoBack"/>
            <w:bookmarkEnd w:id="0"/>
          </w:p>
          <w:p w14:paraId="504301FB">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1E468D99">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价格部分</w:t>
            </w:r>
          </w:p>
          <w:p w14:paraId="001ED6C5">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（10分）</w:t>
            </w:r>
          </w:p>
        </w:tc>
        <w:tc>
          <w:tcPr>
            <w:tcW w:w="2245" w:type="dxa"/>
            <w:noWrap/>
            <w:vAlign w:val="center"/>
          </w:tcPr>
          <w:p w14:paraId="272AB49B">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报价得分</w:t>
            </w:r>
          </w:p>
          <w:p w14:paraId="113F52E1">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(10分)</w:t>
            </w:r>
          </w:p>
        </w:tc>
        <w:tc>
          <w:tcPr>
            <w:tcW w:w="5341" w:type="dxa"/>
            <w:noWrap/>
          </w:tcPr>
          <w:p w14:paraId="30D08073">
            <w:pPr>
              <w:spacing w:line="360" w:lineRule="auto"/>
              <w:rPr>
                <w:rFonts w:hint="default" w:ascii="宋体" w:hAnsi="宋体" w:eastAsia="宋体" w:cs="宋体"/>
                <w:i w:val="0"/>
                <w:iCs w:val="0"/>
                <w:color w:val="auto"/>
                <w:szCs w:val="21"/>
                <w:highlight w:val="none"/>
                <w:lang w:val="en-US" w:eastAsia="zh-CN"/>
              </w:rPr>
            </w:pPr>
            <w:r>
              <w:rPr>
                <w:rFonts w:hint="eastAsia" w:ascii="宋体" w:hAnsi="宋体" w:cs="宋体"/>
                <w:i w:val="0"/>
                <w:iCs w:val="0"/>
                <w:color w:val="auto"/>
                <w:szCs w:val="21"/>
                <w:highlight w:val="none"/>
              </w:rPr>
              <w:t>投标报价得分＝（评标基准价/总报价）×价格分值</w:t>
            </w:r>
            <w:r>
              <w:rPr>
                <w:rFonts w:hint="eastAsia" w:ascii="宋体" w:hAnsi="宋体" w:cs="宋体"/>
                <w:i w:val="0"/>
                <w:iCs w:val="0"/>
                <w:color w:val="auto"/>
                <w:szCs w:val="21"/>
                <w:highlight w:val="none"/>
                <w:lang w:eastAsia="zh-CN"/>
              </w:rPr>
              <w:t>（</w:t>
            </w:r>
            <w:r>
              <w:rPr>
                <w:rFonts w:hint="eastAsia" w:ascii="宋体" w:hAnsi="宋体" w:cs="宋体"/>
                <w:i w:val="0"/>
                <w:iCs w:val="0"/>
                <w:color w:val="auto"/>
                <w:szCs w:val="21"/>
                <w:highlight w:val="none"/>
                <w:lang w:val="en-US" w:eastAsia="zh-CN"/>
              </w:rPr>
              <w:t>10）</w:t>
            </w:r>
          </w:p>
          <w:p w14:paraId="638D75E0">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【注：满足要求且价格最低的总报价为评标基准价。】最低报价不是</w:t>
            </w:r>
            <w:r>
              <w:rPr>
                <w:rFonts w:hint="eastAsia" w:ascii="宋体" w:hAnsi="宋体" w:cs="宋体"/>
                <w:i w:val="0"/>
                <w:iCs w:val="0"/>
                <w:color w:val="auto"/>
                <w:szCs w:val="21"/>
                <w:highlight w:val="none"/>
                <w:lang w:eastAsia="zh-CN"/>
              </w:rPr>
              <w:t>成交</w:t>
            </w:r>
            <w:r>
              <w:rPr>
                <w:rFonts w:hint="eastAsia" w:ascii="宋体" w:hAnsi="宋体" w:cs="宋体"/>
                <w:i w:val="0"/>
                <w:iCs w:val="0"/>
                <w:color w:val="auto"/>
                <w:szCs w:val="21"/>
                <w:highlight w:val="none"/>
              </w:rPr>
              <w:t>的唯一依据。</w:t>
            </w:r>
          </w:p>
        </w:tc>
      </w:tr>
    </w:tbl>
    <w:p w14:paraId="73C3668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right="0"/>
        <w:rPr>
          <w:rFonts w:hint="eastAsia" w:ascii="微软雅黑" w:hAnsi="微软雅黑" w:eastAsia="微软雅黑" w:cs="微软雅黑"/>
          <w:i w:val="0"/>
          <w:iCs w:val="0"/>
          <w:caps w:val="0"/>
          <w:color w:val="auto"/>
          <w:spacing w:val="0"/>
          <w:sz w:val="24"/>
          <w:szCs w:val="24"/>
          <w:highlight w:val="none"/>
          <w:shd w:val="clear" w:fill="FFFFFF"/>
          <w:lang w:val="en-US" w:eastAsia="zh-CN"/>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2217420</wp:posOffset>
              </wp:positionH>
              <wp:positionV relativeFrom="paragraph">
                <wp:posOffset>1270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30EF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4.6pt;margin-top:0.1pt;height:144pt;width:144pt;mso-position-horizontal-relative:margin;mso-wrap-style:none;z-index:251660288;mso-width-relative:page;mso-height-relative:page;" filled="f" stroked="f" coordsize="21600,21600" o:gfxdata="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WsQb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49130EF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31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2FF69"/>
    <w:multiLevelType w:val="singleLevel"/>
    <w:tmpl w:val="B0A2FF69"/>
    <w:lvl w:ilvl="0" w:tentative="0">
      <w:start w:val="5"/>
      <w:numFmt w:val="chineseCounting"/>
      <w:suff w:val="nothing"/>
      <w:lvlText w:val="%1、"/>
      <w:lvlJc w:val="left"/>
      <w:rPr>
        <w:rFonts w:hint="eastAsia"/>
      </w:rPr>
    </w:lvl>
  </w:abstractNum>
  <w:abstractNum w:abstractNumId="1">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788911"/>
    <w:multiLevelType w:val="singleLevel"/>
    <w:tmpl w:val="16788911"/>
    <w:lvl w:ilvl="0" w:tentative="0">
      <w:start w:val="1"/>
      <w:numFmt w:val="chineseCounting"/>
      <w:suff w:val="nothing"/>
      <w:lvlText w:val="（%1）"/>
      <w:lvlJc w:val="left"/>
      <w:rPr>
        <w:rFonts w:hint="eastAsia"/>
      </w:rPr>
    </w:lvl>
  </w:abstractNum>
  <w:abstractNum w:abstractNumId="3">
    <w:nsid w:val="67ED5C15"/>
    <w:multiLevelType w:val="singleLevel"/>
    <w:tmpl w:val="67ED5C15"/>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270380"/>
    <w:rsid w:val="05EC5E6D"/>
    <w:rsid w:val="09AE6AAA"/>
    <w:rsid w:val="108C1CE9"/>
    <w:rsid w:val="16C13924"/>
    <w:rsid w:val="1B9A1FE1"/>
    <w:rsid w:val="1EC341D8"/>
    <w:rsid w:val="21AC6893"/>
    <w:rsid w:val="21F71A28"/>
    <w:rsid w:val="275072F5"/>
    <w:rsid w:val="28F84712"/>
    <w:rsid w:val="30624D14"/>
    <w:rsid w:val="33557238"/>
    <w:rsid w:val="3DBF0FE8"/>
    <w:rsid w:val="496038EF"/>
    <w:rsid w:val="5AB36DD5"/>
    <w:rsid w:val="5D1A4C15"/>
    <w:rsid w:val="6044285D"/>
    <w:rsid w:val="65BD2628"/>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3607</Words>
  <Characters>3750</Characters>
  <Lines>0</Lines>
  <Paragraphs>0</Paragraphs>
  <TotalTime>0</TotalTime>
  <ScaleCrop>false</ScaleCrop>
  <LinksUpToDate>false</LinksUpToDate>
  <CharactersWithSpaces>3753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2026-06-24T07:13:58Z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546BABB7754F455DAFED7EF164E38387_13</vt:lpwstr>
  </property>
  <property fmtid="{D5CDD505-2E9C-101B-9397-08002B2CF9AE}" pid="4" name="KSOTemplateDocerSaveRecord">
    <vt:lpwstr>eyJoZGlkIjoiN2M1YWNmZTFiMDBlYjdkNDJjOTA0ZjFkNDA2N2FmZWUiLCJ1c2VySWQiOiI2NDkzNjEyODAifQ==</vt:lpwstr>
  </property>
</Properties>
</file>