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B5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7CB07C5C">
      <w:pPr>
        <w:pStyle w:val="18"/>
        <w:widowControl/>
        <w:numPr>
          <w:ilvl w:val="0"/>
          <w:numId w:val="0"/>
        </w:numPr>
        <w:spacing w:line="360" w:lineRule="auto"/>
        <w:ind w:left="720" w:leftChars="0" w:hanging="720" w:firstLineChars="0"/>
        <w:jc w:val="center"/>
        <w:rPr>
          <w:rFonts w:hint="eastAsia" w:ascii="仿宋_GB2312" w:hAnsi="仿宋_GB2312" w:eastAsia="仿宋_GB2312" w:cs="仿宋_GB2312"/>
          <w:b/>
          <w:bCs w:val="0"/>
          <w:color w:val="auto"/>
          <w:kern w:val="2"/>
          <w:sz w:val="28"/>
          <w:szCs w:val="28"/>
          <w:lang w:val="en-US" w:eastAsia="zh-CN" w:bidi="ar-SA"/>
        </w:rPr>
      </w:pPr>
      <w:r>
        <w:rPr>
          <w:rFonts w:hint="eastAsia" w:ascii="黑体" w:hAnsi="黑体" w:eastAsia="黑体" w:cs="黑体"/>
          <w:bCs/>
          <w:sz w:val="36"/>
          <w:szCs w:val="36"/>
          <w:lang w:val="en-US" w:eastAsia="zh-CN"/>
        </w:rPr>
        <w:t>项目需求书</w:t>
      </w:r>
    </w:p>
    <w:p w14:paraId="083F3203">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一、项目基本情况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6229"/>
      </w:tblGrid>
      <w:tr w14:paraId="08A8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24" w:type="dxa"/>
          </w:tcPr>
          <w:p w14:paraId="719B87FB">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229" w:type="dxa"/>
          </w:tcPr>
          <w:p w14:paraId="0B4D4D48">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中山市口腔医院2026年医疗设备配件采购项目</w:t>
            </w:r>
          </w:p>
        </w:tc>
      </w:tr>
      <w:tr w14:paraId="481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4" w:type="dxa"/>
          </w:tcPr>
          <w:p w14:paraId="77422E5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6229" w:type="dxa"/>
          </w:tcPr>
          <w:p w14:paraId="5881C84E">
            <w:pPr>
              <w:spacing w:line="360" w:lineRule="auto"/>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71100元</w:t>
            </w:r>
          </w:p>
        </w:tc>
      </w:tr>
    </w:tbl>
    <w:p w14:paraId="42C640F7">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二、采购设备名称清单</w:t>
      </w:r>
    </w:p>
    <w:tbl>
      <w:tblPr>
        <w:tblStyle w:val="1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19"/>
        <w:gridCol w:w="1310"/>
        <w:gridCol w:w="1521"/>
        <w:gridCol w:w="930"/>
        <w:gridCol w:w="2066"/>
      </w:tblGrid>
      <w:tr w14:paraId="03A1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9" w:type="dxa"/>
            <w:shd w:val="clear" w:color="auto" w:fill="FFFFFF"/>
            <w:tcMar>
              <w:top w:w="0" w:type="dxa"/>
              <w:right w:w="0" w:type="dxa"/>
            </w:tcMar>
            <w:vAlign w:val="center"/>
          </w:tcPr>
          <w:p w14:paraId="2F566B9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2619" w:type="dxa"/>
            <w:shd w:val="clear" w:color="auto" w:fill="FFFFFF"/>
            <w:tcMar>
              <w:top w:w="0" w:type="dxa"/>
              <w:right w:w="0" w:type="dxa"/>
            </w:tcMar>
            <w:vAlign w:val="center"/>
          </w:tcPr>
          <w:p w14:paraId="093D6E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类别</w:t>
            </w:r>
          </w:p>
        </w:tc>
        <w:tc>
          <w:tcPr>
            <w:tcW w:w="1310" w:type="dxa"/>
            <w:shd w:val="clear" w:color="auto" w:fill="FFFFFF"/>
            <w:tcMar>
              <w:top w:w="0" w:type="dxa"/>
              <w:right w:w="0" w:type="dxa"/>
            </w:tcMar>
            <w:vAlign w:val="center"/>
          </w:tcPr>
          <w:p w14:paraId="344EFA3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设备</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1521" w:type="dxa"/>
            <w:shd w:val="clear" w:color="auto" w:fill="FFFFFF"/>
            <w:tcMar>
              <w:top w:w="0" w:type="dxa"/>
              <w:right w:w="0" w:type="dxa"/>
            </w:tcMar>
            <w:vAlign w:val="center"/>
          </w:tcPr>
          <w:p w14:paraId="1F1191F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30" w:type="dxa"/>
            <w:shd w:val="clear" w:color="auto" w:fill="FFFFFF"/>
            <w:tcMar>
              <w:top w:w="0" w:type="dxa"/>
              <w:right w:w="0" w:type="dxa"/>
            </w:tcMar>
            <w:vAlign w:val="center"/>
          </w:tcPr>
          <w:p w14:paraId="7315189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2066" w:type="dxa"/>
            <w:shd w:val="clear" w:color="auto" w:fill="FFFFFF"/>
            <w:tcMar>
              <w:top w:w="0" w:type="dxa"/>
              <w:right w:w="0" w:type="dxa"/>
            </w:tcMar>
            <w:vAlign w:val="center"/>
          </w:tcPr>
          <w:p w14:paraId="677D497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上限单价（元）</w:t>
            </w:r>
          </w:p>
        </w:tc>
      </w:tr>
      <w:tr w14:paraId="1D4D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07A4AC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2619" w:type="dxa"/>
            <w:shd w:val="clear"/>
            <w:tcMar>
              <w:top w:w="0" w:type="dxa"/>
              <w:right w:w="0" w:type="dxa"/>
            </w:tcMar>
            <w:vAlign w:val="center"/>
          </w:tcPr>
          <w:p w14:paraId="2BA16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超声波牙科治疗仪配件</w:t>
            </w:r>
          </w:p>
        </w:tc>
        <w:tc>
          <w:tcPr>
            <w:tcW w:w="1310" w:type="dxa"/>
            <w:shd w:val="clear"/>
            <w:tcMar>
              <w:top w:w="0" w:type="dxa"/>
              <w:right w:w="0" w:type="dxa"/>
            </w:tcMar>
            <w:vAlign w:val="center"/>
          </w:tcPr>
          <w:p w14:paraId="0226A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1521" w:type="dxa"/>
            <w:shd w:val="clear" w:color="auto" w:fill="FFFFFF"/>
            <w:tcMar>
              <w:top w:w="0" w:type="dxa"/>
              <w:right w:w="0" w:type="dxa"/>
            </w:tcMar>
            <w:vAlign w:val="center"/>
          </w:tcPr>
          <w:p w14:paraId="6EF1E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7C1AD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2066" w:type="dxa"/>
            <w:shd w:val="clear" w:color="auto" w:fill="FFFFFF"/>
            <w:tcMar>
              <w:top w:w="0" w:type="dxa"/>
              <w:right w:w="0" w:type="dxa"/>
            </w:tcMar>
            <w:vAlign w:val="center"/>
          </w:tcPr>
          <w:p w14:paraId="5031B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3700</w:t>
            </w:r>
          </w:p>
        </w:tc>
      </w:tr>
      <w:tr w14:paraId="7C77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538CC7D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2619" w:type="dxa"/>
            <w:shd w:val="clear"/>
            <w:tcMar>
              <w:top w:w="0" w:type="dxa"/>
              <w:right w:w="0" w:type="dxa"/>
            </w:tcMar>
            <w:vAlign w:val="center"/>
          </w:tcPr>
          <w:p w14:paraId="3B880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tcMar>
              <w:top w:w="0" w:type="dxa"/>
              <w:right w:w="0" w:type="dxa"/>
            </w:tcMar>
            <w:vAlign w:val="center"/>
          </w:tcPr>
          <w:p w14:paraId="3A942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1521" w:type="dxa"/>
            <w:shd w:val="clear" w:color="auto" w:fill="FFFFFF"/>
            <w:tcMar>
              <w:top w:w="0" w:type="dxa"/>
              <w:right w:w="0" w:type="dxa"/>
            </w:tcMar>
            <w:vAlign w:val="center"/>
          </w:tcPr>
          <w:p w14:paraId="0710D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15B6B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2066" w:type="dxa"/>
            <w:shd w:val="clear" w:color="auto" w:fill="FFFFFF"/>
            <w:tcMar>
              <w:top w:w="0" w:type="dxa"/>
              <w:right w:w="0" w:type="dxa"/>
            </w:tcMar>
            <w:vAlign w:val="center"/>
          </w:tcPr>
          <w:p w14:paraId="3AEA2D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5300</w:t>
            </w:r>
          </w:p>
        </w:tc>
      </w:tr>
      <w:tr w14:paraId="43ED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727869E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2619" w:type="dxa"/>
            <w:shd w:val="clear" w:color="auto" w:fill="FFFFFF"/>
            <w:tcMar>
              <w:top w:w="0" w:type="dxa"/>
              <w:right w:w="0" w:type="dxa"/>
            </w:tcMar>
            <w:vAlign w:val="center"/>
          </w:tcPr>
          <w:p w14:paraId="4283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i/>
                <w:iCs/>
                <w:color w:val="FF0000"/>
                <w:sz w:val="28"/>
                <w:szCs w:val="28"/>
                <w:highlight w:val="yellow"/>
                <w:lang w:val="en-US" w:eastAsia="zh-CN"/>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tcMar>
              <w:top w:w="0" w:type="dxa"/>
              <w:right w:w="0" w:type="dxa"/>
            </w:tcMar>
            <w:vAlign w:val="center"/>
          </w:tcPr>
          <w:p w14:paraId="1BF96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工作尖A</w:t>
            </w:r>
          </w:p>
        </w:tc>
        <w:tc>
          <w:tcPr>
            <w:tcW w:w="1521" w:type="dxa"/>
            <w:shd w:val="clear" w:color="auto" w:fill="FFFFFF"/>
            <w:tcMar>
              <w:top w:w="0" w:type="dxa"/>
              <w:right w:w="0" w:type="dxa"/>
            </w:tcMar>
            <w:vAlign w:val="center"/>
          </w:tcPr>
          <w:p w14:paraId="462DC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3EF18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11C0D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600</w:t>
            </w:r>
          </w:p>
        </w:tc>
      </w:tr>
      <w:tr w14:paraId="0664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2770F4F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2619" w:type="dxa"/>
            <w:shd w:val="clear" w:color="auto" w:fill="FFFFFF"/>
            <w:tcMar>
              <w:top w:w="0" w:type="dxa"/>
              <w:right w:w="0" w:type="dxa"/>
            </w:tcMar>
            <w:vAlign w:val="center"/>
          </w:tcPr>
          <w:p w14:paraId="1DB5E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i/>
                <w:iCs/>
                <w:color w:val="FF0000"/>
                <w:sz w:val="28"/>
                <w:szCs w:val="28"/>
                <w:highlight w:val="yellow"/>
                <w:lang w:val="en-US" w:eastAsia="zh-CN"/>
              </w:rPr>
            </w:pPr>
            <w:r>
              <w:rPr>
                <w:rFonts w:hint="eastAsia" w:ascii="宋体" w:hAnsi="宋体" w:eastAsia="宋体" w:cs="宋体"/>
                <w:b w:val="0"/>
                <w:bCs/>
                <w:color w:val="auto"/>
                <w:sz w:val="21"/>
                <w:szCs w:val="21"/>
                <w:highlight w:val="none"/>
                <w:lang w:val="en-US" w:eastAsia="zh-CN"/>
              </w:rPr>
              <w:t>超声骨组织手术设备配件</w:t>
            </w:r>
          </w:p>
        </w:tc>
        <w:tc>
          <w:tcPr>
            <w:tcW w:w="1310" w:type="dxa"/>
            <w:shd w:val="clear"/>
            <w:tcMar>
              <w:top w:w="0" w:type="dxa"/>
              <w:right w:w="0" w:type="dxa"/>
            </w:tcMar>
            <w:vAlign w:val="center"/>
          </w:tcPr>
          <w:p w14:paraId="26AF7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工作尖B</w:t>
            </w:r>
          </w:p>
        </w:tc>
        <w:tc>
          <w:tcPr>
            <w:tcW w:w="1521" w:type="dxa"/>
            <w:shd w:val="clear" w:color="auto" w:fill="FFFFFF"/>
            <w:tcMar>
              <w:top w:w="0" w:type="dxa"/>
              <w:right w:w="0" w:type="dxa"/>
            </w:tcMar>
            <w:vAlign w:val="center"/>
          </w:tcPr>
          <w:p w14:paraId="3BA35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479CF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066" w:type="dxa"/>
            <w:shd w:val="clear" w:color="auto" w:fill="FFFFFF"/>
            <w:tcMar>
              <w:top w:w="0" w:type="dxa"/>
              <w:right w:w="0" w:type="dxa"/>
            </w:tcMar>
            <w:vAlign w:val="center"/>
          </w:tcPr>
          <w:p w14:paraId="60870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600</w:t>
            </w:r>
          </w:p>
        </w:tc>
      </w:tr>
      <w:tr w14:paraId="292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9" w:type="dxa"/>
            <w:shd w:val="clear" w:color="auto" w:fill="FFFFFF"/>
            <w:tcMar>
              <w:top w:w="0" w:type="dxa"/>
              <w:right w:w="0" w:type="dxa"/>
            </w:tcMar>
            <w:vAlign w:val="center"/>
          </w:tcPr>
          <w:p w14:paraId="4473D3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2619" w:type="dxa"/>
            <w:shd w:val="clear"/>
            <w:tcMar>
              <w:top w:w="0" w:type="dxa"/>
              <w:right w:w="0" w:type="dxa"/>
            </w:tcMar>
            <w:vAlign w:val="center"/>
          </w:tcPr>
          <w:p w14:paraId="51B8F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喷砂洁牙机配件</w:t>
            </w:r>
          </w:p>
        </w:tc>
        <w:tc>
          <w:tcPr>
            <w:tcW w:w="1310" w:type="dxa"/>
            <w:shd w:val="clear"/>
            <w:tcMar>
              <w:top w:w="0" w:type="dxa"/>
              <w:right w:w="0" w:type="dxa"/>
            </w:tcMar>
            <w:vAlign w:val="center"/>
          </w:tcPr>
          <w:p w14:paraId="49B88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1521" w:type="dxa"/>
            <w:shd w:val="clear" w:color="auto" w:fill="FFFFFF"/>
            <w:tcMar>
              <w:top w:w="0" w:type="dxa"/>
              <w:right w:w="0" w:type="dxa"/>
            </w:tcMar>
            <w:vAlign w:val="center"/>
          </w:tcPr>
          <w:p w14:paraId="4981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个</w:t>
            </w:r>
          </w:p>
        </w:tc>
        <w:tc>
          <w:tcPr>
            <w:tcW w:w="930" w:type="dxa"/>
            <w:shd w:val="clear" w:color="auto" w:fill="FFFFFF"/>
            <w:tcMar>
              <w:top w:w="0" w:type="dxa"/>
              <w:right w:w="0" w:type="dxa"/>
            </w:tcMar>
            <w:vAlign w:val="center"/>
          </w:tcPr>
          <w:p w14:paraId="2F269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2066" w:type="dxa"/>
            <w:shd w:val="clear" w:color="auto" w:fill="FFFFFF"/>
            <w:tcMar>
              <w:top w:w="0" w:type="dxa"/>
              <w:right w:w="0" w:type="dxa"/>
            </w:tcMar>
            <w:vAlign w:val="center"/>
          </w:tcPr>
          <w:p w14:paraId="7B149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900</w:t>
            </w:r>
          </w:p>
        </w:tc>
      </w:tr>
    </w:tbl>
    <w:p w14:paraId="1D5D9080">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三、技术要求</w:t>
      </w:r>
    </w:p>
    <w:tbl>
      <w:tblPr>
        <w:tblStyle w:val="13"/>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162"/>
        <w:gridCol w:w="3593"/>
        <w:gridCol w:w="3012"/>
      </w:tblGrid>
      <w:tr w14:paraId="008F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16" w:type="dxa"/>
            <w:noWrap w:val="0"/>
            <w:vAlign w:val="center"/>
          </w:tcPr>
          <w:p w14:paraId="58B925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类别</w:t>
            </w:r>
          </w:p>
        </w:tc>
        <w:tc>
          <w:tcPr>
            <w:tcW w:w="1162" w:type="dxa"/>
            <w:noWrap w:val="0"/>
            <w:vAlign w:val="center"/>
          </w:tcPr>
          <w:p w14:paraId="3965771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设备名称</w:t>
            </w:r>
          </w:p>
        </w:tc>
        <w:tc>
          <w:tcPr>
            <w:tcW w:w="3593" w:type="dxa"/>
            <w:noWrap w:val="0"/>
            <w:vAlign w:val="center"/>
          </w:tcPr>
          <w:p w14:paraId="38AEEBC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技术参数要求</w:t>
            </w:r>
          </w:p>
        </w:tc>
        <w:tc>
          <w:tcPr>
            <w:tcW w:w="3012" w:type="dxa"/>
            <w:noWrap w:val="0"/>
            <w:vAlign w:val="center"/>
          </w:tcPr>
          <w:p w14:paraId="1DDCDB3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配置要求</w:t>
            </w:r>
          </w:p>
          <w:p w14:paraId="776B50A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（至少需包括以下配置）</w:t>
            </w:r>
          </w:p>
        </w:tc>
      </w:tr>
      <w:tr w14:paraId="6ADE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shd w:val="clear"/>
            <w:noWrap w:val="0"/>
            <w:vAlign w:val="center"/>
          </w:tcPr>
          <w:p w14:paraId="0C198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超声波牙科治疗仪配件</w:t>
            </w:r>
          </w:p>
        </w:tc>
        <w:tc>
          <w:tcPr>
            <w:tcW w:w="1162" w:type="dxa"/>
            <w:shd w:val="clear"/>
            <w:noWrap w:val="0"/>
            <w:vAlign w:val="center"/>
          </w:tcPr>
          <w:p w14:paraId="13BB1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3593" w:type="dxa"/>
            <w:noWrap w:val="0"/>
            <w:vAlign w:val="center"/>
          </w:tcPr>
          <w:p w14:paraId="00F8917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1.适配P5 NEWTRON XS牙科治疗仪。</w:t>
            </w:r>
          </w:p>
          <w:p w14:paraId="1A0BE1C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用于牙科洁牙和根管治疗</w:t>
            </w:r>
            <w:r>
              <w:rPr>
                <w:rFonts w:hint="eastAsia" w:ascii="宋体" w:hAnsi="宋体" w:eastAsia="宋体" w:cs="宋体"/>
                <w:b w:val="0"/>
                <w:bCs/>
                <w:color w:val="auto"/>
                <w:sz w:val="21"/>
                <w:szCs w:val="21"/>
                <w:highlight w:val="none"/>
                <w:lang w:val="en-US" w:eastAsia="zh-CN"/>
              </w:rPr>
              <w:t>。</w:t>
            </w:r>
          </w:p>
          <w:p w14:paraId="5839A52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1AA50F6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1）工作手柄5个</w:t>
            </w:r>
          </w:p>
          <w:p w14:paraId="4A99276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2）工作尖扳手1个</w:t>
            </w:r>
          </w:p>
        </w:tc>
      </w:tr>
      <w:tr w14:paraId="207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16" w:type="dxa"/>
            <w:vMerge w:val="restart"/>
            <w:shd w:val="clear"/>
            <w:noWrap w:val="0"/>
            <w:vAlign w:val="center"/>
          </w:tcPr>
          <w:p w14:paraId="70709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超声骨组织手术设备配件</w:t>
            </w:r>
          </w:p>
        </w:tc>
        <w:tc>
          <w:tcPr>
            <w:tcW w:w="1162" w:type="dxa"/>
            <w:shd w:val="clear"/>
            <w:noWrap w:val="0"/>
            <w:vAlign w:val="center"/>
          </w:tcPr>
          <w:p w14:paraId="63704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color w:val="auto"/>
                <w:kern w:val="28"/>
                <w:sz w:val="24"/>
                <w:szCs w:val="21"/>
                <w:highlight w:val="none"/>
                <w:lang w:val="en-US" w:eastAsia="zh-CN" w:bidi="ar-SA"/>
              </w:rPr>
            </w:pPr>
            <w:r>
              <w:rPr>
                <w:rFonts w:hint="eastAsia" w:ascii="宋体" w:hAnsi="宋体" w:eastAsia="宋体" w:cs="宋体"/>
                <w:b w:val="0"/>
                <w:bCs/>
                <w:color w:val="auto"/>
                <w:sz w:val="21"/>
                <w:szCs w:val="21"/>
                <w:highlight w:val="none"/>
                <w:lang w:val="en-US" w:eastAsia="zh-CN"/>
              </w:rPr>
              <w:t>手柄</w:t>
            </w:r>
          </w:p>
        </w:tc>
        <w:tc>
          <w:tcPr>
            <w:tcW w:w="3593" w:type="dxa"/>
            <w:noWrap w:val="0"/>
            <w:vAlign w:val="center"/>
          </w:tcPr>
          <w:p w14:paraId="598658F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144A15F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1874B1E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045ABF4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1）工作手柄8个</w:t>
            </w:r>
          </w:p>
        </w:tc>
      </w:tr>
      <w:tr w14:paraId="0CD4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vMerge w:val="continue"/>
            <w:tcBorders/>
            <w:noWrap w:val="0"/>
            <w:vAlign w:val="center"/>
          </w:tcPr>
          <w:p w14:paraId="5BC0490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p>
        </w:tc>
        <w:tc>
          <w:tcPr>
            <w:tcW w:w="1162" w:type="dxa"/>
            <w:shd w:val="clear"/>
            <w:noWrap w:val="0"/>
            <w:vAlign w:val="center"/>
          </w:tcPr>
          <w:p w14:paraId="0E39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工作尖A</w:t>
            </w:r>
          </w:p>
        </w:tc>
        <w:tc>
          <w:tcPr>
            <w:tcW w:w="3593" w:type="dxa"/>
            <w:noWrap w:val="0"/>
            <w:vAlign w:val="center"/>
          </w:tcPr>
          <w:p w14:paraId="4384569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0F47722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2.临床用途：牙周增隙。</w:t>
            </w:r>
          </w:p>
          <w:p w14:paraId="2E657FB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4668936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04B6F0B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75958D2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3）限力扳手1个</w:t>
            </w:r>
          </w:p>
        </w:tc>
      </w:tr>
      <w:tr w14:paraId="1BA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vMerge w:val="continue"/>
            <w:tcBorders/>
            <w:noWrap w:val="0"/>
            <w:vAlign w:val="center"/>
          </w:tcPr>
          <w:p w14:paraId="33401A6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p>
        </w:tc>
        <w:tc>
          <w:tcPr>
            <w:tcW w:w="1162" w:type="dxa"/>
            <w:shd w:val="clear"/>
            <w:noWrap w:val="0"/>
            <w:vAlign w:val="center"/>
          </w:tcPr>
          <w:p w14:paraId="4C635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工作尖B</w:t>
            </w:r>
          </w:p>
        </w:tc>
        <w:tc>
          <w:tcPr>
            <w:tcW w:w="3593" w:type="dxa"/>
            <w:noWrap w:val="0"/>
            <w:vAlign w:val="center"/>
          </w:tcPr>
          <w:p w14:paraId="5BFC94B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324F928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2.临床用途：骨组织切开。</w:t>
            </w:r>
          </w:p>
          <w:p w14:paraId="56EDADB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402650B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159DDD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367F89E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3）限力扳手1个</w:t>
            </w:r>
          </w:p>
        </w:tc>
      </w:tr>
      <w:tr w14:paraId="3552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16" w:type="dxa"/>
            <w:noWrap w:val="0"/>
            <w:vAlign w:val="center"/>
          </w:tcPr>
          <w:p w14:paraId="0ADB5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喷砂洁牙机配件</w:t>
            </w:r>
          </w:p>
        </w:tc>
        <w:tc>
          <w:tcPr>
            <w:tcW w:w="1162" w:type="dxa"/>
            <w:noWrap w:val="0"/>
            <w:vAlign w:val="center"/>
          </w:tcPr>
          <w:p w14:paraId="065EA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手柄</w:t>
            </w:r>
          </w:p>
        </w:tc>
        <w:tc>
          <w:tcPr>
            <w:tcW w:w="3593" w:type="dxa"/>
            <w:noWrap w:val="0"/>
            <w:vAlign w:val="center"/>
          </w:tcPr>
          <w:p w14:paraId="55E654E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1.适配CP-1喷砂洁牙机。</w:t>
            </w:r>
          </w:p>
          <w:p w14:paraId="1E5703E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2.喷砂嘴直径约0.7mm。</w:t>
            </w:r>
          </w:p>
          <w:p w14:paraId="50A79CE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3.可高温高压消毒。</w:t>
            </w:r>
          </w:p>
        </w:tc>
        <w:tc>
          <w:tcPr>
            <w:tcW w:w="3012" w:type="dxa"/>
            <w:noWrap w:val="0"/>
            <w:vAlign w:val="center"/>
          </w:tcPr>
          <w:p w14:paraId="68ACB5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1）龈上手柄4个</w:t>
            </w:r>
          </w:p>
          <w:p w14:paraId="661BC3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2）龈下手柄（含喷嘴）2个</w:t>
            </w:r>
          </w:p>
          <w:p w14:paraId="01A2994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宋体" w:hAnsi="宋体" w:eastAsia="宋体" w:cs="宋体"/>
                <w:b w:val="0"/>
                <w:bCs/>
                <w:color w:val="auto"/>
                <w:sz w:val="21"/>
                <w:szCs w:val="21"/>
                <w:highlight w:val="none"/>
                <w:lang w:val="en-US" w:eastAsia="zh-CN"/>
              </w:rPr>
              <w:t>3）拆卸扳手2个</w:t>
            </w:r>
          </w:p>
        </w:tc>
      </w:tr>
    </w:tbl>
    <w:p w14:paraId="319B69AB">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3A449A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宋体" w:hAnsi="宋体" w:eastAsia="宋体" w:cs="宋体"/>
          <w:b/>
          <w:szCs w:val="21"/>
          <w:lang w:val="en-US" w:eastAsia="zh-CN"/>
        </w:rPr>
        <w:t>（一）报价要求</w:t>
      </w:r>
    </w:p>
    <w:p w14:paraId="7827B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1.本项目总报价最高上限价</w:t>
      </w:r>
      <w:r>
        <w:rPr>
          <w:rFonts w:hint="eastAsia" w:ascii="Times New Roman" w:hAnsi="Times New Roman" w:eastAsia="宋体" w:cs="Times New Roman"/>
          <w:b w:val="0"/>
          <w:bCs w:val="0"/>
          <w:szCs w:val="21"/>
          <w:highlight w:val="none"/>
          <w:lang w:val="en-US" w:eastAsia="zh-CN"/>
        </w:rPr>
        <w:t>71100</w:t>
      </w:r>
      <w:r>
        <w:rPr>
          <w:rFonts w:hint="eastAsia" w:ascii="Times New Roman" w:hAnsi="Times New Roman" w:eastAsia="宋体" w:cs="Times New Roman"/>
          <w:b w:val="0"/>
          <w:bCs w:val="0"/>
          <w:kern w:val="2"/>
          <w:sz w:val="21"/>
          <w:szCs w:val="21"/>
          <w:lang w:val="en-US" w:eastAsia="zh-CN" w:bidi="ar-SA"/>
        </w:rPr>
        <w:t>.00元，报价高于本项目最高上限价的为无效报价。</w:t>
      </w:r>
    </w:p>
    <w:p w14:paraId="599CF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2.供应商报价应包括完成项目所必须的全部货物、税费、运费、保险费、仓储费、质保、安装调试、售后服务等全部费用。报价以人民币为货币单位，单价、小计和总价应清楚表达。</w:t>
      </w:r>
    </w:p>
    <w:p w14:paraId="444F7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3.本项目由成交供应商负责本项目需求对成交供应商要求的一切事宜及责任，如果供应商在签署合同后，在项目实施过程中出现报价内容的任何遗漏，均由成交供应商提供，采购人将不再支付任何费用。</w:t>
      </w:r>
    </w:p>
    <w:p w14:paraId="499269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 w:val="0"/>
          <w:bCs w:val="0"/>
          <w:kern w:val="2"/>
          <w:sz w:val="21"/>
          <w:szCs w:val="21"/>
          <w:lang w:val="en-US" w:eastAsia="zh-CN" w:bidi="ar-SA"/>
        </w:rPr>
        <w:t>4.货币：人民币。</w:t>
      </w:r>
    </w:p>
    <w:p w14:paraId="3B9599F6">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eastAsia="宋体" w:cs="宋体"/>
          <w:b/>
          <w:szCs w:val="21"/>
          <w:lang w:val="en-US" w:eastAsia="zh-CN"/>
        </w:rPr>
        <w:t>（二）到货及安装地点、时间</w:t>
      </w:r>
    </w:p>
    <w:p w14:paraId="0BA636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1.到货及安装地点：中山市口腔医院</w:t>
      </w:r>
    </w:p>
    <w:p w14:paraId="72575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2.交付时间：接到采购人通知后10日内完成供货并安装调试至正常使用状态。</w:t>
      </w:r>
    </w:p>
    <w:p w14:paraId="3AA72DCF">
      <w:pPr>
        <w:keepNext w:val="0"/>
        <w:keepLines w:val="0"/>
        <w:pageBreakBefore w:val="0"/>
        <w:widowControl w:val="0"/>
        <w:numPr>
          <w:ilvl w:val="0"/>
          <w:numId w:val="0"/>
        </w:numPr>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eastAsia="宋体" w:cs="宋体"/>
          <w:b/>
          <w:kern w:val="2"/>
          <w:sz w:val="21"/>
          <w:szCs w:val="21"/>
          <w:lang w:val="en-US" w:eastAsia="zh-CN" w:bidi="ar-SA"/>
        </w:rPr>
        <w:t>（三）</w:t>
      </w:r>
      <w:r>
        <w:rPr>
          <w:rFonts w:hint="eastAsia" w:ascii="宋体" w:hAnsi="宋体" w:eastAsia="宋体" w:cs="宋体"/>
          <w:b/>
          <w:szCs w:val="21"/>
          <w:lang w:val="en-US" w:eastAsia="zh-CN"/>
        </w:rPr>
        <w:t>包装及运输</w:t>
      </w:r>
    </w:p>
    <w:p w14:paraId="732B3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1.包装必须与运输方式相适应，包装方式的确定及包装费用均由成交供应商负责；由于不适当的包装而造成货物在运输过程中有任何损坏、丢失由乙方负责。</w:t>
      </w:r>
    </w:p>
    <w:p w14:paraId="17F89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2.包装应足以承受整个过程中的运输、转运、装卸、储存等，充分考虑到运输途中的各种情况（如暴露于恶劣气候等）和中山地区的气候特点，以及露天存放的需要。</w:t>
      </w:r>
    </w:p>
    <w:p w14:paraId="55599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4B28D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4.货物在现场的保管由成交供应商负责，直至项目安装、验收完毕。</w:t>
      </w:r>
    </w:p>
    <w:p w14:paraId="4A516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5.包装费、运费已包含在合同价内。</w:t>
      </w:r>
    </w:p>
    <w:p w14:paraId="58E5AD44">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lang w:val="en-US" w:eastAsia="zh-CN"/>
        </w:rPr>
      </w:pPr>
      <w:r>
        <w:rPr>
          <w:rFonts w:hint="eastAsia" w:ascii="宋体" w:hAnsi="宋体" w:cs="宋体"/>
          <w:b/>
          <w:szCs w:val="21"/>
          <w:lang w:val="en-US" w:eastAsia="zh-CN"/>
        </w:rPr>
        <w:t>（四）质保期</w:t>
      </w:r>
      <w:r>
        <w:rPr>
          <w:rFonts w:hint="eastAsia" w:ascii="宋体" w:hAnsi="宋体" w:eastAsia="宋体" w:cs="宋体"/>
          <w:b/>
          <w:szCs w:val="21"/>
          <w:lang w:val="en-US" w:eastAsia="zh-CN"/>
        </w:rPr>
        <w:t>及售后服务要求</w:t>
      </w:r>
    </w:p>
    <w:p w14:paraId="019BF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1.质量保证</w:t>
      </w:r>
    </w:p>
    <w:p w14:paraId="0CC5A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1.1原厂质保期不少于1年。</w:t>
      </w:r>
    </w:p>
    <w:p w14:paraId="5195E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1.2成交供应商保证设备是全新、未曾使用过的，其质量、规格及技术特征符合用户需求书及合同的要求，必须对交付的货物在质保期内及质保期外承担质量保修责任。</w:t>
      </w:r>
    </w:p>
    <w:p w14:paraId="1C42E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008AF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3615C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1.5成交供应商负责设备的终身维修并应提供优质的售后服务，成交供应商需列明质保期满后的年度售后服务费用（全保费用）。</w:t>
      </w:r>
    </w:p>
    <w:p w14:paraId="22225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2.售后服务</w:t>
      </w:r>
    </w:p>
    <w:p w14:paraId="385C1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2.1质保期满后，若有设备出现故障，属于寿命异常问题（明显短于该零部件正常寿命）时，则由成交供应商负责免费更换及维修。</w:t>
      </w:r>
    </w:p>
    <w:p w14:paraId="660679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2.2质保期满后，应采购人要求，成交供应商应（参考当时的市场价格）按优惠价格与采购人签订定期维修保养合同及提供采购人所需零配件。</w:t>
      </w:r>
    </w:p>
    <w:p w14:paraId="29FA1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2.3在备件停止生产的情况下，成交供应商应事先将要停止生产的计划通知采购人，使采购人有足够的时间采购所需备件；在备件停止生产后，成交供应商应免费向采购提供备件的图纸、资料。</w:t>
      </w:r>
    </w:p>
    <w:p w14:paraId="44EC1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 xml:space="preserve">2.4要求售后服务为生产原厂家负责，成交供应商提供厂家售后服务承诺书。  </w:t>
      </w:r>
    </w:p>
    <w:p w14:paraId="4DE4F829">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五、结算及付款方式</w:t>
      </w:r>
    </w:p>
    <w:p w14:paraId="5B1EC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w:t>
      </w:r>
      <w:r>
        <w:rPr>
          <w:rFonts w:hint="eastAsia" w:ascii="Times New Roman" w:hAnsi="Times New Roman" w:eastAsia="宋体" w:cs="Times New Roman"/>
          <w:b w:val="0"/>
          <w:bCs w:val="0"/>
          <w:kern w:val="2"/>
          <w:sz w:val="21"/>
          <w:szCs w:val="21"/>
          <w:lang w:val="en-US" w:eastAsia="zh-CN" w:bidi="ar-SA"/>
        </w:rPr>
        <w:t>.合同设备全部到采购人指定科室交付并完成安装调试至正常使用状态后申请验收，验收合格后成交供应商向采购人提交申请款项支付资料之后30个工作日内，采购人向成交供应商支付100%合同款项。</w:t>
      </w:r>
    </w:p>
    <w:p w14:paraId="53E77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2.本合同款项以人民币通过银行转账方式结算，乙方凭以下资料申请款项支付：</w:t>
      </w:r>
    </w:p>
    <w:p w14:paraId="53A79C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①合同复印件；②验收合格报告；③乙方开具对应款项的正规全额发票和对应款项收据。</w:t>
      </w:r>
    </w:p>
    <w:p w14:paraId="3010F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6D47F303">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bookmarkStart w:id="0" w:name="_Toc259090960"/>
      <w:r>
        <w:rPr>
          <w:rFonts w:hint="eastAsia" w:ascii="仿宋_GB2312" w:hAnsi="仿宋_GB2312" w:eastAsia="仿宋_GB2312" w:cs="仿宋_GB2312"/>
          <w:b/>
          <w:bCs w:val="0"/>
          <w:color w:val="auto"/>
          <w:kern w:val="2"/>
          <w:sz w:val="28"/>
          <w:szCs w:val="28"/>
          <w:lang w:val="en-US" w:eastAsia="zh-CN" w:bidi="ar-SA"/>
        </w:rPr>
        <w:t>六、评审方法</w:t>
      </w:r>
    </w:p>
    <w:p w14:paraId="4D2F9B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经评审的最低价法：</w:t>
      </w:r>
      <w:r>
        <w:rPr>
          <w:rFonts w:hint="eastAsia" w:ascii="Times New Roman" w:hAnsi="Times New Roman" w:eastAsia="宋体" w:cs="Times New Roman"/>
          <w:b w:val="0"/>
          <w:bCs w:val="0"/>
          <w:kern w:val="2"/>
          <w:sz w:val="21"/>
          <w:szCs w:val="21"/>
          <w:lang w:val="en-US" w:eastAsia="zh-CN" w:bidi="ar-SA"/>
        </w:rPr>
        <w:t>由评审委员会从需求响应方面和价格方面进行综合评审，符合用户需求且报价最低的为排名第一，排名第一的推荐为拟成交供应商。</w:t>
      </w:r>
    </w:p>
    <w:p w14:paraId="12EEE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注：如报价相同时，可根据供货时间、服务便利性等因素择优推荐排名。</w:t>
      </w:r>
    </w:p>
    <w:bookmarkEnd w:id="0"/>
    <w:p w14:paraId="5DCE8036">
      <w:pPr>
        <w:pStyle w:val="18"/>
        <w:widowControl/>
        <w:numPr>
          <w:ilvl w:val="0"/>
          <w:numId w:val="0"/>
        </w:numPr>
        <w:spacing w:line="360" w:lineRule="auto"/>
        <w:ind w:left="720" w:leftChars="0" w:hanging="720" w:firstLineChars="0"/>
        <w:jc w:val="left"/>
        <w:rPr>
          <w:rFonts w:hint="default"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 xml:space="preserve">七、合同订立 </w:t>
      </w:r>
    </w:p>
    <w:p w14:paraId="0CBE4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定标程序：采购人按照评审汇总表确定排名第一的为成交供应商。</w:t>
      </w:r>
    </w:p>
    <w:p w14:paraId="41D78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5" w:firstLineChars="0"/>
        <w:textAlignment w:val="auto"/>
        <w:rPr>
          <w:rFonts w:hint="eastAsia" w:ascii="Times New Roman" w:hAnsi="Times New Roman" w:eastAsia="宋体" w:cs="Times New Roman"/>
          <w:b w:val="0"/>
          <w:bCs w:val="0"/>
          <w:kern w:val="2"/>
          <w:sz w:val="21"/>
          <w:szCs w:val="21"/>
          <w:lang w:val="zh-CN" w:eastAsia="zh-CN" w:bidi="ar-SA"/>
        </w:rPr>
      </w:pPr>
      <w:r>
        <w:rPr>
          <w:rFonts w:hint="eastAsia" w:ascii="Times New Roman" w:hAnsi="Times New Roman" w:eastAsia="宋体" w:cs="Times New Roman"/>
          <w:b w:val="0"/>
          <w:bCs w:val="0"/>
          <w:kern w:val="2"/>
          <w:sz w:val="21"/>
          <w:szCs w:val="21"/>
          <w:lang w:val="en-US" w:eastAsia="zh-CN" w:bidi="ar-SA"/>
        </w:rPr>
        <w:t>成交供应商确定后，成交供应商拒绝与采购人签订合同的或者放弃成交资格，采购人可以按照评审汇总表的排序，递补确定排名第二的供应商为成交供应商，也可以重新开展采购活动。</w:t>
      </w:r>
      <w:bookmarkStart w:id="1" w:name="_GoBack"/>
      <w:bookmarkEnd w:id="1"/>
    </w:p>
    <w:p w14:paraId="22C0AC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EC341D8"/>
    <w:rsid w:val="23346F68"/>
    <w:rsid w:val="33557238"/>
    <w:rsid w:val="3DBF0FE8"/>
    <w:rsid w:val="5AB36DD5"/>
    <w:rsid w:val="6044285D"/>
    <w:rsid w:val="60DF1113"/>
    <w:rsid w:val="6158132F"/>
    <w:rsid w:val="71321BD9"/>
    <w:rsid w:val="7A9146A4"/>
    <w:rsid w:val="7D64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1658</Words>
  <Characters>1708</Characters>
  <Lines>0</Lines>
  <Paragraphs>0</Paragraphs>
  <TotalTime>3</TotalTime>
  <ScaleCrop>false</ScaleCrop>
  <LinksUpToDate>false</LinksUpToDate>
  <CharactersWithSpaces>1726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chis</cp:lastModifiedBy>
  <dcterms:modified xsi:type="dcterms:W3CDTF">2026-05-28T09:10:29Z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B8AC378C236740A59A117A1866BED01A_13</vt:lpwstr>
  </property>
  <property fmtid="{D5CDD505-2E9C-101B-9397-08002B2CF9AE}" pid="4" name="KSOTemplateDocerSaveRecord">
    <vt:lpwstr>eyJoZGlkIjoiYzM2ZDI0YzYzNjkyZGE1YjQ4YmUyYTk4NGRiOWQxY2MiLCJ1c2VySWQiOiIxNzg0MDA4MjE2In0=</vt:lpwstr>
  </property>
</Properties>
</file>