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rPr>
      </w:pPr>
      <w:r>
        <w:rPr>
          <w:rFonts w:hint="eastAsia" w:ascii="微软雅黑" w:hAnsi="微软雅黑" w:eastAsia="微软雅黑" w:cs="微软雅黑"/>
          <w:i w:val="0"/>
          <w:iCs w:val="0"/>
          <w:caps w:val="0"/>
          <w:color w:val="2B2B2B"/>
          <w:spacing w:val="0"/>
          <w:sz w:val="24"/>
          <w:szCs w:val="24"/>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lang w:val="en-US" w:eastAsia="zh-CN"/>
        </w:rPr>
        <w:t>项目需求书</w:t>
      </w:r>
    </w:p>
    <w:p w14:paraId="275D203D">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default" w:ascii="微软雅黑" w:hAnsi="微软雅黑" w:eastAsia="微软雅黑" w:cs="微软雅黑"/>
          <w:b/>
          <w:bCs w:val="0"/>
          <w:color w:val="auto"/>
          <w:kern w:val="2"/>
          <w:sz w:val="24"/>
          <w:szCs w:val="24"/>
          <w:lang w:val="en-US" w:eastAsia="zh-CN" w:bidi="ar-SA"/>
        </w:rPr>
        <w:t>一、</w:t>
      </w:r>
      <w:r>
        <w:rPr>
          <w:rFonts w:hint="eastAsia" w:ascii="微软雅黑" w:hAnsi="微软雅黑" w:eastAsia="微软雅黑" w:cs="微软雅黑"/>
          <w:b/>
          <w:bCs w:val="0"/>
          <w:color w:val="auto"/>
          <w:kern w:val="2"/>
          <w:sz w:val="24"/>
          <w:szCs w:val="24"/>
          <w:lang w:val="en-US" w:eastAsia="zh-CN" w:bidi="ar-SA"/>
        </w:rPr>
        <w:t>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66EAFF37">
            <w:pPr>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p>
        </w:tc>
        <w:tc>
          <w:tcPr>
            <w:tcW w:w="5723" w:type="dxa"/>
          </w:tcPr>
          <w:p w14:paraId="006DFF07">
            <w:pPr>
              <w:spacing w:line="360" w:lineRule="auto"/>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中山市口腔医院2026年饮用水供应项目</w:t>
            </w:r>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44ECE8B7">
            <w:pPr>
              <w:spacing w:line="360"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采购预算金额</w:t>
            </w:r>
          </w:p>
        </w:tc>
        <w:tc>
          <w:tcPr>
            <w:tcW w:w="5723" w:type="dxa"/>
          </w:tcPr>
          <w:p w14:paraId="4D49B931">
            <w:pPr>
              <w:spacing w:line="360" w:lineRule="auto"/>
              <w:jc w:val="center"/>
              <w:rPr>
                <w:rFonts w:hint="default" w:ascii="微软雅黑" w:hAnsi="微软雅黑" w:eastAsia="微软雅黑" w:cs="微软雅黑"/>
                <w:sz w:val="24"/>
                <w:szCs w:val="24"/>
                <w:lang w:val="en-US"/>
              </w:rPr>
            </w:pPr>
            <w:r>
              <w:rPr>
                <w:rFonts w:hint="eastAsia" w:ascii="微软雅黑" w:hAnsi="微软雅黑" w:eastAsia="微软雅黑" w:cs="微软雅黑"/>
                <w:sz w:val="24"/>
                <w:szCs w:val="24"/>
                <w:lang w:val="en-US" w:eastAsia="zh-CN"/>
              </w:rPr>
              <w:t>50000元</w:t>
            </w:r>
          </w:p>
        </w:tc>
      </w:tr>
      <w:tr w14:paraId="5CDF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53" w:type="dxa"/>
            <w:gridSpan w:val="2"/>
          </w:tcPr>
          <w:p w14:paraId="5A4843D9">
            <w:pPr>
              <w:spacing w:line="360" w:lineRule="auto"/>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color w:val="FF0000"/>
                <w:sz w:val="24"/>
                <w:szCs w:val="24"/>
                <w:lang w:val="en-US" w:eastAsia="zh-CN"/>
              </w:rPr>
              <w:t>供应商报价不得超过“单价最高限价”，否则视为无效报价。</w:t>
            </w:r>
          </w:p>
        </w:tc>
      </w:tr>
    </w:tbl>
    <w:p w14:paraId="2A81CF6C">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default" w:ascii="微软雅黑" w:hAnsi="微软雅黑" w:eastAsia="微软雅黑" w:cs="微软雅黑"/>
          <w:b/>
          <w:bCs w:val="0"/>
          <w:color w:val="auto"/>
          <w:kern w:val="2"/>
          <w:sz w:val="24"/>
          <w:szCs w:val="24"/>
          <w:lang w:val="en-US" w:eastAsia="zh-CN" w:bidi="ar-SA"/>
        </w:rPr>
        <w:t>二、</w:t>
      </w:r>
      <w:r>
        <w:rPr>
          <w:rFonts w:hint="eastAsia" w:ascii="微软雅黑" w:hAnsi="微软雅黑" w:eastAsia="微软雅黑" w:cs="微软雅黑"/>
          <w:b/>
          <w:bCs w:val="0"/>
          <w:color w:val="auto"/>
          <w:kern w:val="2"/>
          <w:sz w:val="24"/>
          <w:szCs w:val="24"/>
          <w:lang w:val="en-US" w:eastAsia="zh-CN" w:bidi="ar-SA"/>
        </w:rPr>
        <w:t>采购货物清单</w:t>
      </w:r>
    </w:p>
    <w:tbl>
      <w:tblPr>
        <w:tblStyle w:val="12"/>
        <w:tblW w:w="9537"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664"/>
        <w:gridCol w:w="2346"/>
        <w:gridCol w:w="1200"/>
        <w:gridCol w:w="1721"/>
        <w:gridCol w:w="1836"/>
      </w:tblGrid>
      <w:tr w14:paraId="6BFE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70" w:type="dxa"/>
            <w:shd w:val="clear" w:color="auto" w:fill="FFFFFF"/>
            <w:tcMar>
              <w:top w:w="0" w:type="dxa"/>
              <w:right w:w="0" w:type="dxa"/>
            </w:tcMar>
            <w:vAlign w:val="center"/>
          </w:tcPr>
          <w:p w14:paraId="26B972D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序号</w:t>
            </w:r>
          </w:p>
        </w:tc>
        <w:tc>
          <w:tcPr>
            <w:tcW w:w="1664" w:type="dxa"/>
            <w:shd w:val="clear" w:color="auto" w:fill="FFFFFF"/>
            <w:tcMar>
              <w:top w:w="0" w:type="dxa"/>
              <w:right w:w="0" w:type="dxa"/>
            </w:tcMar>
            <w:vAlign w:val="center"/>
          </w:tcPr>
          <w:p w14:paraId="0EA02EE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名称</w:t>
            </w:r>
          </w:p>
        </w:tc>
        <w:tc>
          <w:tcPr>
            <w:tcW w:w="2346" w:type="dxa"/>
            <w:shd w:val="clear" w:color="auto" w:fill="FFFFFF"/>
            <w:tcMar>
              <w:top w:w="0" w:type="dxa"/>
              <w:right w:w="0" w:type="dxa"/>
            </w:tcMar>
            <w:vAlign w:val="center"/>
          </w:tcPr>
          <w:p w14:paraId="6539AD1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规格</w:t>
            </w:r>
          </w:p>
        </w:tc>
        <w:tc>
          <w:tcPr>
            <w:tcW w:w="1200" w:type="dxa"/>
            <w:shd w:val="clear" w:color="auto" w:fill="FFFFFF"/>
            <w:tcMar>
              <w:top w:w="0" w:type="dxa"/>
              <w:right w:w="0" w:type="dxa"/>
            </w:tcMar>
            <w:vAlign w:val="center"/>
          </w:tcPr>
          <w:p w14:paraId="1C11DDE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计量单位</w:t>
            </w:r>
          </w:p>
        </w:tc>
        <w:tc>
          <w:tcPr>
            <w:tcW w:w="1721" w:type="dxa"/>
            <w:shd w:val="clear" w:color="auto" w:fill="FFFFFF"/>
            <w:tcMar>
              <w:top w:w="0" w:type="dxa"/>
              <w:right w:w="0" w:type="dxa"/>
            </w:tcMar>
            <w:vAlign w:val="center"/>
          </w:tcPr>
          <w:p w14:paraId="3E44F1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年预估</w:t>
            </w:r>
            <w:r>
              <w:rPr>
                <w:rFonts w:hint="eastAsia" w:ascii="微软雅黑" w:hAnsi="微软雅黑" w:eastAsia="微软雅黑" w:cs="微软雅黑"/>
                <w:color w:val="000000" w:themeColor="text1"/>
                <w:kern w:val="0"/>
                <w:sz w:val="24"/>
                <w:szCs w:val="24"/>
                <w14:textFill>
                  <w14:solidFill>
                    <w14:schemeClr w14:val="tx1"/>
                  </w14:solidFill>
                </w14:textFill>
              </w:rPr>
              <w:t>数量</w:t>
            </w:r>
          </w:p>
        </w:tc>
        <w:tc>
          <w:tcPr>
            <w:tcW w:w="1836" w:type="dxa"/>
            <w:shd w:val="clear" w:color="auto" w:fill="FFFFFF"/>
            <w:tcMar>
              <w:top w:w="0" w:type="dxa"/>
              <w:right w:w="0" w:type="dxa"/>
            </w:tcMar>
            <w:vAlign w:val="center"/>
          </w:tcPr>
          <w:p w14:paraId="5AD72C7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最高限价（元）</w:t>
            </w:r>
          </w:p>
        </w:tc>
      </w:tr>
      <w:tr w14:paraId="3D10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0" w:type="dxa"/>
            <w:shd w:val="clear" w:color="auto" w:fill="FFFFFF"/>
            <w:tcMar>
              <w:top w:w="0" w:type="dxa"/>
              <w:right w:w="0" w:type="dxa"/>
            </w:tcMar>
            <w:vAlign w:val="center"/>
          </w:tcPr>
          <w:p w14:paraId="02E24A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1</w:t>
            </w:r>
          </w:p>
        </w:tc>
        <w:tc>
          <w:tcPr>
            <w:tcW w:w="1664" w:type="dxa"/>
            <w:shd w:val="clear" w:color="auto" w:fill="FFFFFF"/>
            <w:tcMar>
              <w:top w:w="0" w:type="dxa"/>
              <w:right w:w="0" w:type="dxa"/>
            </w:tcMar>
            <w:vAlign w:val="center"/>
          </w:tcPr>
          <w:p w14:paraId="48DBDD2D">
            <w:pPr>
              <w:pStyle w:val="23"/>
              <w:numPr>
                <w:ilvl w:val="0"/>
                <w:numId w:val="0"/>
              </w:numPr>
              <w:ind w:left="0" w:leftChars="0" w:firstLine="0" w:firstLineChars="0"/>
              <w:jc w:val="center"/>
              <w:rPr>
                <w:rFonts w:hint="eastAsia" w:ascii="微软雅黑" w:hAnsi="微软雅黑" w:eastAsia="微软雅黑" w:cs="微软雅黑"/>
                <w:color w:val="auto"/>
                <w:kern w:val="0"/>
                <w:sz w:val="24"/>
                <w:szCs w:val="24"/>
              </w:rPr>
            </w:pPr>
            <w:r>
              <w:rPr>
                <w:rFonts w:hint="eastAsia"/>
                <w:b w:val="0"/>
                <w:bCs w:val="0"/>
                <w:sz w:val="22"/>
                <w:szCs w:val="21"/>
                <w:vertAlign w:val="baseline"/>
                <w:lang w:val="en-US" w:eastAsia="zh-CN"/>
              </w:rPr>
              <w:t>桶装水</w:t>
            </w:r>
          </w:p>
        </w:tc>
        <w:tc>
          <w:tcPr>
            <w:tcW w:w="2346" w:type="dxa"/>
            <w:shd w:val="clear" w:color="auto" w:fill="FFFFFF"/>
            <w:tcMar>
              <w:top w:w="0" w:type="dxa"/>
              <w:right w:w="0" w:type="dxa"/>
            </w:tcMar>
            <w:vAlign w:val="center"/>
          </w:tcPr>
          <w:p w14:paraId="096F0DE8">
            <w:pPr>
              <w:pStyle w:val="23"/>
              <w:numPr>
                <w:ilvl w:val="0"/>
                <w:numId w:val="0"/>
              </w:numPr>
              <w:ind w:left="0" w:leftChars="0" w:firstLine="0" w:firstLineChars="0"/>
              <w:jc w:val="center"/>
              <w:rPr>
                <w:rFonts w:hint="eastAsia"/>
                <w:b w:val="0"/>
                <w:bCs w:val="0"/>
                <w:sz w:val="22"/>
                <w:szCs w:val="21"/>
                <w:vertAlign w:val="baseline"/>
                <w:lang w:val="en-US" w:eastAsia="zh-CN"/>
              </w:rPr>
            </w:pPr>
            <w:r>
              <w:rPr>
                <w:rFonts w:hint="eastAsia"/>
                <w:sz w:val="22"/>
                <w:szCs w:val="22"/>
                <w:vertAlign w:val="baseline"/>
                <w:lang w:val="en-US" w:eastAsia="zh-CN"/>
              </w:rPr>
              <w:t>16.8L</w:t>
            </w:r>
          </w:p>
        </w:tc>
        <w:tc>
          <w:tcPr>
            <w:tcW w:w="1200" w:type="dxa"/>
            <w:shd w:val="clear" w:color="auto" w:fill="FFFFFF"/>
            <w:tcMar>
              <w:top w:w="0" w:type="dxa"/>
              <w:right w:w="0" w:type="dxa"/>
            </w:tcMar>
            <w:vAlign w:val="center"/>
          </w:tcPr>
          <w:p w14:paraId="48F75AF3">
            <w:pPr>
              <w:pStyle w:val="23"/>
              <w:numPr>
                <w:ilvl w:val="0"/>
                <w:numId w:val="0"/>
              </w:numPr>
              <w:ind w:left="0" w:leftChars="0" w:firstLine="0" w:firstLineChars="0"/>
              <w:jc w:val="center"/>
              <w:rPr>
                <w:rFonts w:hint="default" w:ascii="微软雅黑" w:hAnsi="微软雅黑" w:eastAsia="微软雅黑" w:cs="微软雅黑"/>
                <w:color w:val="auto"/>
                <w:kern w:val="0"/>
                <w:sz w:val="24"/>
                <w:szCs w:val="24"/>
                <w:lang w:val="en-US" w:eastAsia="zh-CN"/>
              </w:rPr>
            </w:pPr>
            <w:r>
              <w:rPr>
                <w:rFonts w:hint="eastAsia"/>
                <w:b w:val="0"/>
                <w:bCs w:val="0"/>
                <w:sz w:val="22"/>
                <w:szCs w:val="21"/>
                <w:vertAlign w:val="baseline"/>
                <w:lang w:val="en-US" w:eastAsia="zh-CN"/>
              </w:rPr>
              <w:t>桶</w:t>
            </w:r>
          </w:p>
        </w:tc>
        <w:tc>
          <w:tcPr>
            <w:tcW w:w="1721" w:type="dxa"/>
            <w:shd w:val="clear" w:color="auto" w:fill="FFFFFF"/>
            <w:tcMar>
              <w:top w:w="0" w:type="dxa"/>
              <w:right w:w="0" w:type="dxa"/>
            </w:tcMar>
            <w:vAlign w:val="center"/>
          </w:tcPr>
          <w:p w14:paraId="3A1EDB3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4600</w:t>
            </w:r>
          </w:p>
        </w:tc>
        <w:tc>
          <w:tcPr>
            <w:tcW w:w="1836" w:type="dxa"/>
            <w:shd w:val="clear" w:color="auto" w:fill="FFFFFF"/>
            <w:tcMar>
              <w:top w:w="0" w:type="dxa"/>
              <w:right w:w="0" w:type="dxa"/>
            </w:tcMar>
            <w:vAlign w:val="center"/>
          </w:tcPr>
          <w:p w14:paraId="0041DDEC">
            <w:pPr>
              <w:jc w:val="center"/>
              <w:rPr>
                <w:rFonts w:hint="eastAsia" w:ascii="微软雅黑" w:hAnsi="微软雅黑" w:eastAsia="微软雅黑" w:cs="微软雅黑"/>
                <w:i/>
                <w:iCs/>
                <w:color w:val="FF0000"/>
                <w:sz w:val="24"/>
                <w:szCs w:val="24"/>
                <w:highlight w:val="yellow"/>
                <w:lang w:val="en-US" w:eastAsia="zh-CN"/>
              </w:rPr>
            </w:pPr>
            <w:r>
              <w:rPr>
                <w:rFonts w:hint="eastAsia"/>
                <w:lang w:val="en-US" w:eastAsia="zh-CN"/>
              </w:rPr>
              <w:t>10</w:t>
            </w:r>
          </w:p>
        </w:tc>
      </w:tr>
      <w:tr w14:paraId="5CAE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70" w:type="dxa"/>
            <w:shd w:val="clear" w:color="auto" w:fill="FFFFFF"/>
            <w:tcMar>
              <w:top w:w="0" w:type="dxa"/>
              <w:right w:w="0" w:type="dxa"/>
            </w:tcMar>
            <w:vAlign w:val="center"/>
          </w:tcPr>
          <w:p w14:paraId="61BD492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2</w:t>
            </w:r>
          </w:p>
        </w:tc>
        <w:tc>
          <w:tcPr>
            <w:tcW w:w="1664" w:type="dxa"/>
            <w:shd w:val="clear" w:color="auto" w:fill="FFFFFF"/>
            <w:tcMar>
              <w:top w:w="0" w:type="dxa"/>
              <w:right w:w="0" w:type="dxa"/>
            </w:tcMar>
            <w:vAlign w:val="center"/>
          </w:tcPr>
          <w:p w14:paraId="4DEB69BC">
            <w:pPr>
              <w:pStyle w:val="23"/>
              <w:numPr>
                <w:ilvl w:val="0"/>
                <w:numId w:val="0"/>
              </w:numPr>
              <w:ind w:left="0" w:leftChars="0" w:firstLine="0" w:firstLineChars="0"/>
              <w:jc w:val="center"/>
              <w:rPr>
                <w:rFonts w:hint="eastAsia" w:ascii="微软雅黑" w:hAnsi="微软雅黑" w:eastAsia="微软雅黑" w:cs="微软雅黑"/>
                <w:i/>
                <w:iCs/>
                <w:color w:val="FF0000"/>
                <w:sz w:val="24"/>
                <w:szCs w:val="24"/>
                <w:highlight w:val="yellow"/>
                <w:lang w:val="en-US" w:eastAsia="zh-CN"/>
              </w:rPr>
            </w:pPr>
            <w:r>
              <w:rPr>
                <w:rFonts w:hint="eastAsia"/>
                <w:b w:val="0"/>
                <w:bCs w:val="0"/>
                <w:sz w:val="22"/>
                <w:szCs w:val="21"/>
                <w:vertAlign w:val="baseline"/>
                <w:lang w:val="en-US" w:eastAsia="zh-CN"/>
              </w:rPr>
              <w:t>矿泉水</w:t>
            </w:r>
          </w:p>
        </w:tc>
        <w:tc>
          <w:tcPr>
            <w:tcW w:w="2346" w:type="dxa"/>
            <w:shd w:val="clear" w:color="auto" w:fill="FFFFFF"/>
            <w:tcMar>
              <w:top w:w="0" w:type="dxa"/>
              <w:right w:w="0" w:type="dxa"/>
            </w:tcMar>
            <w:vAlign w:val="center"/>
          </w:tcPr>
          <w:p w14:paraId="1ED59592">
            <w:pPr>
              <w:pStyle w:val="23"/>
              <w:numPr>
                <w:ilvl w:val="0"/>
                <w:numId w:val="0"/>
              </w:numPr>
              <w:ind w:left="0" w:leftChars="0" w:firstLine="0" w:firstLineChars="0"/>
              <w:jc w:val="center"/>
              <w:rPr>
                <w:rFonts w:hint="eastAsia"/>
                <w:b w:val="0"/>
                <w:bCs w:val="0"/>
                <w:sz w:val="22"/>
                <w:szCs w:val="21"/>
                <w:vertAlign w:val="baseline"/>
                <w:lang w:val="en-US" w:eastAsia="zh-CN"/>
              </w:rPr>
            </w:pPr>
            <w:r>
              <w:rPr>
                <w:rFonts w:hint="eastAsia"/>
                <w:sz w:val="22"/>
                <w:szCs w:val="22"/>
                <w:vertAlign w:val="baseline"/>
                <w:lang w:val="en-US" w:eastAsia="zh-CN"/>
              </w:rPr>
              <w:t>12L</w:t>
            </w:r>
          </w:p>
        </w:tc>
        <w:tc>
          <w:tcPr>
            <w:tcW w:w="1200" w:type="dxa"/>
            <w:shd w:val="clear" w:color="auto" w:fill="FFFFFF"/>
            <w:tcMar>
              <w:top w:w="0" w:type="dxa"/>
              <w:right w:w="0" w:type="dxa"/>
            </w:tcMar>
            <w:vAlign w:val="center"/>
          </w:tcPr>
          <w:p w14:paraId="00678B8A">
            <w:pPr>
              <w:pStyle w:val="23"/>
              <w:numPr>
                <w:ilvl w:val="0"/>
                <w:numId w:val="0"/>
              </w:numPr>
              <w:ind w:left="0" w:leftChars="0" w:firstLine="0" w:firstLineChars="0"/>
              <w:jc w:val="center"/>
              <w:rPr>
                <w:rFonts w:hint="eastAsia" w:ascii="微软雅黑" w:hAnsi="微软雅黑" w:eastAsia="微软雅黑" w:cs="微软雅黑"/>
                <w:i/>
                <w:iCs/>
                <w:color w:val="FF0000"/>
                <w:sz w:val="24"/>
                <w:szCs w:val="24"/>
                <w:highlight w:val="yellow"/>
                <w:lang w:val="en-US" w:eastAsia="zh-CN"/>
              </w:rPr>
            </w:pPr>
            <w:r>
              <w:rPr>
                <w:rFonts w:hint="eastAsia"/>
                <w:b w:val="0"/>
                <w:bCs w:val="0"/>
                <w:sz w:val="22"/>
                <w:szCs w:val="21"/>
                <w:vertAlign w:val="baseline"/>
                <w:lang w:val="en-US" w:eastAsia="zh-CN"/>
              </w:rPr>
              <w:t>桶</w:t>
            </w:r>
          </w:p>
        </w:tc>
        <w:tc>
          <w:tcPr>
            <w:tcW w:w="1721" w:type="dxa"/>
            <w:shd w:val="clear" w:color="auto" w:fill="FFFFFF"/>
            <w:tcMar>
              <w:top w:w="0" w:type="dxa"/>
              <w:right w:w="0" w:type="dxa"/>
            </w:tcMar>
            <w:vAlign w:val="center"/>
          </w:tcPr>
          <w:p w14:paraId="47E4193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20</w:t>
            </w:r>
          </w:p>
        </w:tc>
        <w:tc>
          <w:tcPr>
            <w:tcW w:w="1836" w:type="dxa"/>
            <w:shd w:val="clear" w:color="auto" w:fill="FFFFFF"/>
            <w:tcMar>
              <w:top w:w="0" w:type="dxa"/>
              <w:right w:w="0" w:type="dxa"/>
            </w:tcMar>
            <w:vAlign w:val="center"/>
          </w:tcPr>
          <w:p w14:paraId="36633BDF">
            <w:pPr>
              <w:jc w:val="center"/>
              <w:rPr>
                <w:rFonts w:hint="eastAsia" w:ascii="微软雅黑" w:hAnsi="微软雅黑" w:eastAsia="微软雅黑" w:cs="微软雅黑"/>
                <w:i/>
                <w:iCs/>
                <w:color w:val="FF0000"/>
                <w:sz w:val="24"/>
                <w:szCs w:val="24"/>
                <w:highlight w:val="yellow"/>
                <w:lang w:val="en-US" w:eastAsia="zh-CN"/>
              </w:rPr>
            </w:pPr>
            <w:r>
              <w:rPr>
                <w:rFonts w:hint="eastAsia"/>
                <w:lang w:val="en-US" w:eastAsia="zh-CN"/>
              </w:rPr>
              <w:t>20</w:t>
            </w:r>
          </w:p>
        </w:tc>
      </w:tr>
      <w:tr w14:paraId="4F49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70" w:type="dxa"/>
            <w:shd w:val="clear" w:color="auto" w:fill="FFFFFF"/>
            <w:tcMar>
              <w:top w:w="0" w:type="dxa"/>
              <w:right w:w="0" w:type="dxa"/>
            </w:tcMar>
            <w:vAlign w:val="center"/>
          </w:tcPr>
          <w:p w14:paraId="4B06963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3</w:t>
            </w:r>
          </w:p>
        </w:tc>
        <w:tc>
          <w:tcPr>
            <w:tcW w:w="1664" w:type="dxa"/>
            <w:shd w:val="clear" w:color="auto" w:fill="FFFFFF"/>
            <w:tcMar>
              <w:top w:w="0" w:type="dxa"/>
              <w:right w:w="0" w:type="dxa"/>
            </w:tcMar>
            <w:vAlign w:val="center"/>
          </w:tcPr>
          <w:p w14:paraId="0BD1CEDA">
            <w:pPr>
              <w:pStyle w:val="23"/>
              <w:numPr>
                <w:ilvl w:val="0"/>
                <w:numId w:val="0"/>
              </w:numPr>
              <w:ind w:left="0" w:leftChars="0" w:firstLine="0" w:firstLineChars="0"/>
              <w:jc w:val="center"/>
              <w:rPr>
                <w:rFonts w:hint="eastAsia" w:ascii="微软雅黑" w:hAnsi="微软雅黑" w:eastAsia="微软雅黑" w:cs="微软雅黑"/>
                <w:i/>
                <w:iCs/>
                <w:color w:val="FF0000"/>
                <w:sz w:val="24"/>
                <w:szCs w:val="24"/>
                <w:highlight w:val="yellow"/>
                <w:lang w:val="en-US" w:eastAsia="zh-CN"/>
              </w:rPr>
            </w:pPr>
            <w:r>
              <w:rPr>
                <w:rFonts w:hint="eastAsia"/>
                <w:b w:val="0"/>
                <w:bCs w:val="0"/>
                <w:sz w:val="22"/>
                <w:szCs w:val="21"/>
                <w:vertAlign w:val="baseline"/>
                <w:lang w:val="en-US" w:eastAsia="zh-CN"/>
              </w:rPr>
              <w:t>纯净水</w:t>
            </w:r>
          </w:p>
        </w:tc>
        <w:tc>
          <w:tcPr>
            <w:tcW w:w="2346" w:type="dxa"/>
            <w:shd w:val="clear" w:color="auto" w:fill="FFFFFF"/>
            <w:tcMar>
              <w:top w:w="0" w:type="dxa"/>
              <w:right w:w="0" w:type="dxa"/>
            </w:tcMar>
            <w:vAlign w:val="center"/>
          </w:tcPr>
          <w:p w14:paraId="4FE5DEDB">
            <w:pPr>
              <w:pStyle w:val="23"/>
              <w:numPr>
                <w:ilvl w:val="0"/>
                <w:numId w:val="0"/>
              </w:numPr>
              <w:ind w:left="0" w:leftChars="0" w:firstLine="0" w:firstLineChars="0"/>
              <w:jc w:val="center"/>
              <w:rPr>
                <w:rFonts w:hint="eastAsia"/>
                <w:b w:val="0"/>
                <w:bCs w:val="0"/>
                <w:sz w:val="22"/>
                <w:szCs w:val="21"/>
                <w:vertAlign w:val="baseline"/>
                <w:lang w:val="en-US" w:eastAsia="zh-CN"/>
              </w:rPr>
            </w:pPr>
            <w:r>
              <w:rPr>
                <w:rFonts w:hint="eastAsia"/>
                <w:sz w:val="22"/>
                <w:szCs w:val="22"/>
                <w:vertAlign w:val="baseline"/>
                <w:lang w:val="en-US" w:eastAsia="zh-CN"/>
              </w:rPr>
              <w:t>16.8L</w:t>
            </w:r>
          </w:p>
        </w:tc>
        <w:tc>
          <w:tcPr>
            <w:tcW w:w="1200" w:type="dxa"/>
            <w:shd w:val="clear" w:color="auto" w:fill="FFFFFF"/>
            <w:tcMar>
              <w:top w:w="0" w:type="dxa"/>
              <w:right w:w="0" w:type="dxa"/>
            </w:tcMar>
            <w:vAlign w:val="center"/>
          </w:tcPr>
          <w:p w14:paraId="6F8E8129">
            <w:pPr>
              <w:pStyle w:val="23"/>
              <w:numPr>
                <w:ilvl w:val="0"/>
                <w:numId w:val="0"/>
              </w:numPr>
              <w:ind w:left="0" w:leftChars="0" w:firstLine="0" w:firstLineChars="0"/>
              <w:jc w:val="center"/>
              <w:rPr>
                <w:rFonts w:hint="eastAsia" w:ascii="微软雅黑" w:hAnsi="微软雅黑" w:eastAsia="微软雅黑" w:cs="微软雅黑"/>
                <w:i/>
                <w:iCs/>
                <w:color w:val="FF0000"/>
                <w:sz w:val="24"/>
                <w:szCs w:val="24"/>
                <w:highlight w:val="yellow"/>
                <w:lang w:val="en-US" w:eastAsia="zh-CN"/>
              </w:rPr>
            </w:pPr>
            <w:r>
              <w:rPr>
                <w:rFonts w:hint="eastAsia"/>
                <w:b w:val="0"/>
                <w:bCs w:val="0"/>
                <w:sz w:val="22"/>
                <w:szCs w:val="21"/>
                <w:vertAlign w:val="baseline"/>
                <w:lang w:val="en-US" w:eastAsia="zh-CN"/>
              </w:rPr>
              <w:t>桶</w:t>
            </w:r>
          </w:p>
        </w:tc>
        <w:tc>
          <w:tcPr>
            <w:tcW w:w="1721" w:type="dxa"/>
            <w:shd w:val="clear" w:color="auto" w:fill="FFFFFF"/>
            <w:tcMar>
              <w:top w:w="0" w:type="dxa"/>
              <w:right w:w="0" w:type="dxa"/>
            </w:tcMar>
            <w:vAlign w:val="center"/>
          </w:tcPr>
          <w:p w14:paraId="430DD7A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20</w:t>
            </w:r>
          </w:p>
        </w:tc>
        <w:tc>
          <w:tcPr>
            <w:tcW w:w="1836" w:type="dxa"/>
            <w:shd w:val="clear" w:color="auto" w:fill="FFFFFF"/>
            <w:tcMar>
              <w:top w:w="0" w:type="dxa"/>
              <w:right w:w="0" w:type="dxa"/>
            </w:tcMar>
            <w:vAlign w:val="center"/>
          </w:tcPr>
          <w:p w14:paraId="3E438087">
            <w:pPr>
              <w:jc w:val="center"/>
              <w:rPr>
                <w:rFonts w:hint="default" w:ascii="微软雅黑" w:hAnsi="微软雅黑" w:eastAsia="微软雅黑" w:cs="微软雅黑"/>
                <w:i/>
                <w:iCs/>
                <w:color w:val="FF0000"/>
                <w:sz w:val="24"/>
                <w:szCs w:val="24"/>
                <w:highlight w:val="yellow"/>
                <w:lang w:val="en-US" w:eastAsia="zh-CN"/>
              </w:rPr>
            </w:pPr>
            <w:r>
              <w:rPr>
                <w:rFonts w:hint="eastAsia"/>
                <w:lang w:val="en-US" w:eastAsia="zh-CN"/>
              </w:rPr>
              <w:t>15</w:t>
            </w:r>
          </w:p>
        </w:tc>
      </w:tr>
      <w:tr w14:paraId="372F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70" w:type="dxa"/>
            <w:shd w:val="clear" w:color="auto" w:fill="FFFFFF"/>
            <w:tcMar>
              <w:top w:w="0" w:type="dxa"/>
              <w:right w:w="0" w:type="dxa"/>
            </w:tcMar>
            <w:vAlign w:val="center"/>
          </w:tcPr>
          <w:p w14:paraId="10FDB09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4</w:t>
            </w:r>
          </w:p>
        </w:tc>
        <w:tc>
          <w:tcPr>
            <w:tcW w:w="1664" w:type="dxa"/>
            <w:shd w:val="clear" w:color="auto" w:fill="FFFFFF"/>
            <w:tcMar>
              <w:top w:w="0" w:type="dxa"/>
              <w:right w:w="0" w:type="dxa"/>
            </w:tcMar>
            <w:vAlign w:val="center"/>
          </w:tcPr>
          <w:p w14:paraId="79EB131D">
            <w:pPr>
              <w:pStyle w:val="23"/>
              <w:numPr>
                <w:ilvl w:val="0"/>
                <w:numId w:val="0"/>
              </w:numPr>
              <w:ind w:left="0" w:leftChars="0" w:firstLine="0" w:firstLineChars="0"/>
              <w:jc w:val="center"/>
              <w:rPr>
                <w:rFonts w:hint="eastAsia" w:ascii="微软雅黑" w:hAnsi="微软雅黑" w:eastAsia="微软雅黑" w:cs="微软雅黑"/>
                <w:i/>
                <w:iCs/>
                <w:color w:val="FF0000"/>
                <w:sz w:val="24"/>
                <w:szCs w:val="24"/>
                <w:highlight w:val="yellow"/>
                <w:lang w:val="en-US" w:eastAsia="zh-CN"/>
              </w:rPr>
            </w:pPr>
            <w:r>
              <w:rPr>
                <w:rFonts w:hint="eastAsia"/>
                <w:b w:val="0"/>
                <w:bCs w:val="0"/>
                <w:sz w:val="22"/>
                <w:szCs w:val="21"/>
                <w:vertAlign w:val="baseline"/>
                <w:lang w:val="en-US" w:eastAsia="zh-CN"/>
              </w:rPr>
              <w:t>瓶装水</w:t>
            </w:r>
          </w:p>
        </w:tc>
        <w:tc>
          <w:tcPr>
            <w:tcW w:w="2346" w:type="dxa"/>
            <w:shd w:val="clear" w:color="auto" w:fill="FFFFFF"/>
            <w:tcMar>
              <w:top w:w="0" w:type="dxa"/>
              <w:right w:w="0" w:type="dxa"/>
            </w:tcMar>
            <w:vAlign w:val="center"/>
          </w:tcPr>
          <w:p w14:paraId="6056A1D9">
            <w:pPr>
              <w:pStyle w:val="23"/>
              <w:numPr>
                <w:ilvl w:val="0"/>
                <w:numId w:val="0"/>
              </w:numPr>
              <w:ind w:left="0" w:leftChars="0" w:firstLine="0" w:firstLineChars="0"/>
              <w:jc w:val="center"/>
              <w:rPr>
                <w:rFonts w:hint="eastAsia"/>
                <w:b w:val="0"/>
                <w:bCs w:val="0"/>
                <w:sz w:val="22"/>
                <w:szCs w:val="21"/>
                <w:vertAlign w:val="baseline"/>
                <w:lang w:val="en-US" w:eastAsia="zh-CN"/>
              </w:rPr>
            </w:pPr>
            <w:r>
              <w:rPr>
                <w:rFonts w:hint="eastAsia"/>
                <w:sz w:val="22"/>
                <w:szCs w:val="22"/>
                <w:vertAlign w:val="baseline"/>
                <w:lang w:val="en-US" w:eastAsia="zh-CN"/>
              </w:rPr>
              <w:t>355ml/瓶，24瓶/箱</w:t>
            </w:r>
          </w:p>
        </w:tc>
        <w:tc>
          <w:tcPr>
            <w:tcW w:w="1200" w:type="dxa"/>
            <w:shd w:val="clear" w:color="auto" w:fill="FFFFFF"/>
            <w:tcMar>
              <w:top w:w="0" w:type="dxa"/>
              <w:right w:w="0" w:type="dxa"/>
            </w:tcMar>
            <w:vAlign w:val="center"/>
          </w:tcPr>
          <w:p w14:paraId="77F82D56">
            <w:pPr>
              <w:pStyle w:val="23"/>
              <w:numPr>
                <w:ilvl w:val="0"/>
                <w:numId w:val="0"/>
              </w:numPr>
              <w:ind w:left="0" w:leftChars="0" w:firstLine="0" w:firstLineChars="0"/>
              <w:jc w:val="center"/>
              <w:rPr>
                <w:rFonts w:hint="eastAsia" w:ascii="微软雅黑" w:hAnsi="微软雅黑" w:eastAsia="微软雅黑" w:cs="微软雅黑"/>
                <w:i/>
                <w:iCs/>
                <w:color w:val="FF0000"/>
                <w:sz w:val="24"/>
                <w:szCs w:val="24"/>
                <w:highlight w:val="yellow"/>
                <w:lang w:val="en-US" w:eastAsia="zh-CN"/>
              </w:rPr>
            </w:pPr>
            <w:r>
              <w:rPr>
                <w:rFonts w:hint="eastAsia"/>
                <w:b w:val="0"/>
                <w:bCs w:val="0"/>
                <w:sz w:val="22"/>
                <w:szCs w:val="21"/>
                <w:vertAlign w:val="baseline"/>
                <w:lang w:val="en-US" w:eastAsia="zh-CN"/>
              </w:rPr>
              <w:t>箱</w:t>
            </w:r>
          </w:p>
        </w:tc>
        <w:tc>
          <w:tcPr>
            <w:tcW w:w="1721" w:type="dxa"/>
            <w:shd w:val="clear" w:color="auto" w:fill="FFFFFF"/>
            <w:tcMar>
              <w:top w:w="0" w:type="dxa"/>
              <w:right w:w="0" w:type="dxa"/>
            </w:tcMar>
            <w:vAlign w:val="center"/>
          </w:tcPr>
          <w:p w14:paraId="5C4C443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130</w:t>
            </w:r>
          </w:p>
        </w:tc>
        <w:tc>
          <w:tcPr>
            <w:tcW w:w="1836" w:type="dxa"/>
            <w:shd w:val="clear" w:color="auto" w:fill="FFFFFF"/>
            <w:tcMar>
              <w:top w:w="0" w:type="dxa"/>
              <w:right w:w="0" w:type="dxa"/>
            </w:tcMar>
            <w:vAlign w:val="center"/>
          </w:tcPr>
          <w:p w14:paraId="21343604">
            <w:pPr>
              <w:jc w:val="center"/>
              <w:rPr>
                <w:rFonts w:hint="eastAsia" w:ascii="微软雅黑" w:hAnsi="微软雅黑" w:eastAsia="微软雅黑" w:cs="微软雅黑"/>
                <w:i/>
                <w:iCs/>
                <w:color w:val="FF0000"/>
                <w:sz w:val="24"/>
                <w:szCs w:val="24"/>
                <w:highlight w:val="yellow"/>
                <w:lang w:val="en-US" w:eastAsia="zh-CN"/>
              </w:rPr>
            </w:pPr>
            <w:r>
              <w:rPr>
                <w:rFonts w:hint="eastAsia"/>
                <w:lang w:val="en-US" w:eastAsia="zh-CN"/>
              </w:rPr>
              <w:t>25</w:t>
            </w:r>
          </w:p>
        </w:tc>
      </w:tr>
      <w:tr w14:paraId="5997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9537" w:type="dxa"/>
            <w:gridSpan w:val="6"/>
            <w:shd w:val="clear" w:color="auto" w:fill="FFFFFF"/>
            <w:tcMar>
              <w:top w:w="0" w:type="dxa"/>
              <w:right w:w="0" w:type="dxa"/>
            </w:tcMar>
            <w:vAlign w:val="center"/>
          </w:tcPr>
          <w:p w14:paraId="75832084">
            <w:pPr>
              <w:pStyle w:val="6"/>
              <w:widowControl w:val="0"/>
              <w:numPr>
                <w:ilvl w:val="0"/>
                <w:numId w:val="0"/>
              </w:numPr>
              <w:jc w:val="both"/>
              <w:rPr>
                <w:rFonts w:hint="eastAsia" w:ascii="Times New Roman" w:hAnsi="Times New Roman" w:eastAsia="仿宋" w:cs="Times New Roman"/>
                <w:b/>
                <w:bCs/>
                <w:color w:val="000000"/>
                <w:kern w:val="0"/>
                <w:sz w:val="24"/>
                <w:szCs w:val="24"/>
                <w:lang w:val="en-US" w:eastAsia="zh-Hans" w:bidi="ar-SA"/>
              </w:rPr>
            </w:pPr>
            <w:r>
              <w:rPr>
                <w:rFonts w:hint="eastAsia" w:ascii="Times New Roman" w:hAnsi="Times New Roman" w:eastAsia="仿宋" w:cs="Times New Roman"/>
                <w:b/>
                <w:bCs/>
                <w:color w:val="000000"/>
                <w:kern w:val="0"/>
                <w:sz w:val="24"/>
                <w:szCs w:val="24"/>
                <w:lang w:val="en-US" w:eastAsia="zh-Hans" w:bidi="ar-SA"/>
              </w:rPr>
              <w:t>注：</w:t>
            </w:r>
          </w:p>
          <w:p w14:paraId="71332E3C">
            <w:pPr>
              <w:pStyle w:val="6"/>
              <w:widowControl w:val="0"/>
              <w:numPr>
                <w:ilvl w:val="0"/>
                <w:numId w:val="0"/>
              </w:numPr>
              <w:jc w:val="both"/>
              <w:rPr>
                <w:rFonts w:hint="eastAsia" w:ascii="Times New Roman" w:hAnsi="Times New Roman" w:eastAsia="仿宋" w:cs="Times New Roman"/>
                <w:b/>
                <w:bCs/>
                <w:color w:val="000000"/>
                <w:kern w:val="0"/>
                <w:sz w:val="24"/>
                <w:szCs w:val="24"/>
                <w:lang w:val="en-US" w:eastAsia="zh-Hans" w:bidi="ar-SA"/>
              </w:rPr>
            </w:pPr>
            <w:r>
              <w:rPr>
                <w:rFonts w:hint="eastAsia" w:ascii="Times New Roman" w:hAnsi="Times New Roman" w:eastAsia="仿宋" w:cs="Times New Roman"/>
                <w:b/>
                <w:bCs/>
                <w:color w:val="000000"/>
                <w:kern w:val="0"/>
                <w:sz w:val="24"/>
                <w:szCs w:val="24"/>
                <w:lang w:val="en-US" w:eastAsia="zh-CN" w:bidi="ar-SA"/>
              </w:rPr>
              <w:t>1.</w:t>
            </w:r>
            <w:r>
              <w:rPr>
                <w:rFonts w:hint="eastAsia" w:ascii="Times New Roman" w:hAnsi="Times New Roman" w:eastAsia="仿宋" w:cs="Times New Roman"/>
                <w:b/>
                <w:bCs/>
                <w:color w:val="000000"/>
                <w:kern w:val="0"/>
                <w:sz w:val="24"/>
                <w:szCs w:val="24"/>
                <w:lang w:val="en-US" w:eastAsia="zh-Hans" w:bidi="ar-SA"/>
              </w:rPr>
              <w:t>本项目按实际供货量进行结算，采购人不保证具体的采购数量。</w:t>
            </w:r>
          </w:p>
          <w:p w14:paraId="6420277C">
            <w:pPr>
              <w:pStyle w:val="6"/>
              <w:widowControl w:val="0"/>
              <w:numPr>
                <w:ilvl w:val="0"/>
                <w:numId w:val="0"/>
              </w:numPr>
              <w:jc w:val="both"/>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cs="Times New Roman"/>
                <w:b/>
                <w:bCs/>
                <w:color w:val="000000"/>
                <w:kern w:val="0"/>
                <w:sz w:val="24"/>
                <w:szCs w:val="24"/>
                <w:lang w:val="en-US" w:eastAsia="zh-CN" w:bidi="ar-SA"/>
              </w:rPr>
              <w:t>2.参考品牌：娃哈哈、粤山泉、鼎湖山泉、怡宝。品牌并无任何限制性。</w:t>
            </w:r>
            <w:r>
              <w:rPr>
                <w:rFonts w:hint="eastAsia" w:eastAsia="仿宋" w:cs="Times New Roman"/>
                <w:b/>
                <w:bCs/>
                <w:color w:val="000000"/>
                <w:kern w:val="0"/>
                <w:sz w:val="24"/>
                <w:szCs w:val="24"/>
                <w:lang w:val="en-US" w:eastAsia="zh-CN" w:bidi="ar-SA"/>
              </w:rPr>
              <w:t>响应单位</w:t>
            </w:r>
            <w:r>
              <w:rPr>
                <w:rFonts w:hint="eastAsia" w:ascii="Times New Roman" w:hAnsi="Times New Roman" w:eastAsia="仿宋" w:cs="Times New Roman"/>
                <w:b/>
                <w:bCs/>
                <w:color w:val="000000"/>
                <w:kern w:val="0"/>
                <w:sz w:val="24"/>
                <w:szCs w:val="24"/>
                <w:lang w:val="en-US" w:eastAsia="zh-CN" w:bidi="ar-SA"/>
              </w:rPr>
              <w:t>在本次院内竞价中可以选用其他替代品牌或规格的产品，但这些替代的产品在品牌知名度和规格上不得低于需求文件的要求。</w:t>
            </w:r>
          </w:p>
          <w:p w14:paraId="3936031A">
            <w:pPr>
              <w:pStyle w:val="6"/>
              <w:widowControl w:val="0"/>
              <w:numPr>
                <w:ilvl w:val="0"/>
                <w:numId w:val="0"/>
              </w:numPr>
              <w:jc w:val="both"/>
              <w:rPr>
                <w:rFonts w:hint="default" w:ascii="微软雅黑" w:hAnsi="微软雅黑" w:eastAsia="微软雅黑" w:cs="微软雅黑"/>
                <w:bCs w:val="0"/>
                <w:kern w:val="2"/>
                <w:sz w:val="24"/>
                <w:szCs w:val="24"/>
                <w:lang w:val="en-US" w:eastAsia="zh-CN" w:bidi="ar-SA"/>
              </w:rPr>
            </w:pPr>
            <w:r>
              <w:rPr>
                <w:rFonts w:hint="eastAsia" w:eastAsia="仿宋" w:cs="Times New Roman"/>
                <w:b/>
                <w:bCs/>
                <w:color w:val="000000"/>
                <w:kern w:val="0"/>
                <w:sz w:val="24"/>
                <w:szCs w:val="24"/>
                <w:lang w:val="en-US" w:eastAsia="zh-CN" w:bidi="ar-SA"/>
              </w:rPr>
              <w:t>3.</w:t>
            </w:r>
            <w:r>
              <w:rPr>
                <w:rFonts w:hint="eastAsia" w:ascii="Times New Roman" w:hAnsi="Times New Roman" w:eastAsia="仿宋" w:cs="Times New Roman"/>
                <w:b/>
                <w:bCs/>
                <w:color w:val="000000"/>
                <w:kern w:val="0"/>
                <w:sz w:val="24"/>
                <w:szCs w:val="24"/>
                <w:lang w:val="en-US" w:eastAsia="zh-CN" w:bidi="ar-SA"/>
              </w:rPr>
              <w:t>供货品牌需提供产品合格证、检测报告，随首批货交付。</w:t>
            </w:r>
          </w:p>
        </w:tc>
      </w:tr>
    </w:tbl>
    <w:p w14:paraId="6D966B24">
      <w:pPr>
        <w:pStyle w:val="18"/>
        <w:widowControl/>
        <w:numPr>
          <w:ilvl w:val="0"/>
          <w:numId w:val="0"/>
        </w:numPr>
        <w:spacing w:line="360" w:lineRule="auto"/>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三、技术要求</w:t>
      </w:r>
    </w:p>
    <w:p w14:paraId="6F1CDF2E">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微软雅黑" w:hAnsi="微软雅黑" w:eastAsia="微软雅黑" w:cs="微软雅黑"/>
          <w:bCs w:val="0"/>
          <w:kern w:val="2"/>
          <w:sz w:val="24"/>
          <w:szCs w:val="24"/>
          <w:lang w:val="en-US" w:eastAsia="zh-CN" w:bidi="ar-SA"/>
        </w:rPr>
      </w:pPr>
      <w:r>
        <w:rPr>
          <w:rFonts w:hint="eastAsia" w:ascii="微软雅黑" w:hAnsi="微软雅黑" w:eastAsia="微软雅黑" w:cs="微软雅黑"/>
          <w:bCs w:val="0"/>
          <w:kern w:val="2"/>
          <w:sz w:val="24"/>
          <w:szCs w:val="24"/>
          <w:lang w:val="en-US" w:eastAsia="zh-CN" w:bidi="ar-SA"/>
        </w:rPr>
        <w:t>1.产品技术参数要求：产品需符合GB19298-2014《食品安全国家标准包装饮用水》、GB8537-2018《食品安全国家标准饮用天然矿泉水》等相关的国家标准规定。</w:t>
      </w:r>
    </w:p>
    <w:p w14:paraId="3DF3395E">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微软雅黑" w:hAnsi="微软雅黑" w:eastAsia="微软雅黑" w:cs="微软雅黑"/>
          <w:bCs w:val="0"/>
          <w:kern w:val="2"/>
          <w:sz w:val="24"/>
          <w:szCs w:val="24"/>
          <w:lang w:val="en-US" w:eastAsia="zh-CN" w:bidi="ar-SA"/>
        </w:rPr>
      </w:pPr>
      <w:r>
        <w:rPr>
          <w:rFonts w:hint="eastAsia" w:ascii="微软雅黑" w:hAnsi="微软雅黑" w:eastAsia="微软雅黑" w:cs="微软雅黑"/>
          <w:bCs w:val="0"/>
          <w:kern w:val="2"/>
          <w:sz w:val="24"/>
          <w:szCs w:val="24"/>
          <w:lang w:val="en-US" w:eastAsia="zh-CN" w:bidi="ar-SA"/>
        </w:rPr>
        <w:t>2.产品保质期：桶装水、矿泉水、纯净水≥3个月，瓶装水≥6个月；生产日期距供货日不超过1个月，保障水质新鲜。</w:t>
      </w:r>
    </w:p>
    <w:p w14:paraId="6F782372">
      <w:pPr>
        <w:pStyle w:val="18"/>
        <w:keepNext w:val="0"/>
        <w:keepLines w:val="0"/>
        <w:pageBreakBefore w:val="0"/>
        <w:widowControl/>
        <w:numPr>
          <w:ilvl w:val="0"/>
          <w:numId w:val="0"/>
        </w:numPr>
        <w:tabs>
          <w:tab w:val="left" w:pos="6569"/>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微软雅黑" w:hAnsi="微软雅黑" w:eastAsia="微软雅黑" w:cs="微软雅黑"/>
          <w:bCs w:val="0"/>
          <w:kern w:val="2"/>
          <w:sz w:val="24"/>
          <w:szCs w:val="24"/>
          <w:lang w:val="en-US" w:eastAsia="zh-CN" w:bidi="ar-SA"/>
        </w:rPr>
      </w:pPr>
      <w:r>
        <w:rPr>
          <w:rFonts w:hint="eastAsia" w:ascii="微软雅黑" w:hAnsi="微软雅黑" w:eastAsia="微软雅黑" w:cs="微软雅黑"/>
          <w:bCs w:val="0"/>
          <w:kern w:val="2"/>
          <w:sz w:val="24"/>
          <w:szCs w:val="24"/>
          <w:lang w:val="en-US" w:eastAsia="zh-CN" w:bidi="ar-SA"/>
        </w:rPr>
        <w:t>3.禁止回收桶二次灌装，一次性桶材质符合食品级标准。</w:t>
      </w:r>
    </w:p>
    <w:p w14:paraId="3E0E2554">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四、商务要求</w:t>
      </w:r>
    </w:p>
    <w:p w14:paraId="4006B8B3">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（一）报价要求</w:t>
      </w:r>
    </w:p>
    <w:p w14:paraId="0B2F64B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1.本项目</w:t>
      </w:r>
      <w:bookmarkStart w:id="1" w:name="_GoBack"/>
      <w:bookmarkEnd w:id="1"/>
      <w:r>
        <w:rPr>
          <w:rFonts w:hint="eastAsia" w:ascii="微软雅黑" w:hAnsi="微软雅黑" w:eastAsia="微软雅黑" w:cs="微软雅黑"/>
          <w:lang w:val="en-US" w:eastAsia="zh-CN"/>
        </w:rPr>
        <w:t>预算为50000元，供应商单价报价不可高于最高限价，否则为无效报价。</w:t>
      </w:r>
    </w:p>
    <w:p w14:paraId="7653C2ED">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2.供应商报价应包括完成项目所必须的全部货物、税费、运费、保险费、仓储费、质保</w:t>
      </w:r>
      <w:r>
        <w:rPr>
          <w:rFonts w:hint="eastAsia" w:ascii="微软雅黑" w:hAnsi="微软雅黑" w:eastAsia="微软雅黑" w:cs="微软雅黑"/>
          <w:highlight w:val="none"/>
          <w:lang w:val="en-US" w:eastAsia="zh-CN"/>
        </w:rPr>
        <w:t>、售后服</w:t>
      </w:r>
      <w:r>
        <w:rPr>
          <w:rFonts w:hint="eastAsia" w:ascii="微软雅黑" w:hAnsi="微软雅黑" w:eastAsia="微软雅黑" w:cs="微软雅黑"/>
          <w:lang w:val="en-US" w:eastAsia="zh-CN"/>
        </w:rPr>
        <w:t>务等全部费用。报价以人民币为货币单位，单价、小计和总价应清楚表达。</w:t>
      </w:r>
    </w:p>
    <w:p w14:paraId="41BD082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3.本项目由成交供应商负责本项目需求对成交供应商要求的一切事宜及责任，如果供应商在签署合同后，在项目实施过程中出现报价内容的任何遗漏，均由成交供应商提供，采购人将不再支付任何费用。</w:t>
      </w:r>
    </w:p>
    <w:p w14:paraId="5DEEB580">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4.本项目预估采购数量仅为供应商报价参考，最终结算金额按实际供货数量×中标单价计算，采购人不承担预估数量与实际数量差异的任何责任</w:t>
      </w:r>
    </w:p>
    <w:p w14:paraId="34C91292">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5.货币：人民币。</w:t>
      </w:r>
    </w:p>
    <w:p w14:paraId="0C1984BC">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（二）送货地点、时间</w:t>
      </w:r>
    </w:p>
    <w:p w14:paraId="32AC02D5">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1.送货地点：</w:t>
      </w:r>
      <w:r>
        <w:rPr>
          <w:rFonts w:hint="eastAsia" w:ascii="微软雅黑" w:hAnsi="微软雅黑" w:eastAsia="微软雅黑" w:cs="微软雅黑"/>
          <w:bCs w:val="0"/>
          <w:kern w:val="2"/>
          <w:sz w:val="24"/>
          <w:szCs w:val="24"/>
          <w:lang w:val="en-US" w:eastAsia="zh-CN" w:bidi="ar-SA"/>
        </w:rPr>
        <w:t>中山市石岐区湖滨路73号院区、中山市东区街道兴文路38号东区门诊部、中山市石岐区富康北路华发首府7、8幢岐江新城门诊部和其他临时活动指定位置。临时活动需提前24小时通知，加急订单4 小时内送达</w:t>
      </w:r>
    </w:p>
    <w:p w14:paraId="1AF6F22D">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微软雅黑" w:hAnsi="微软雅黑" w:eastAsia="微软雅黑" w:cs="微软雅黑"/>
          <w:bCs w:val="0"/>
          <w:kern w:val="2"/>
          <w:sz w:val="24"/>
          <w:szCs w:val="24"/>
          <w:lang w:val="en-US" w:eastAsia="zh-CN" w:bidi="ar-SA"/>
        </w:rPr>
      </w:pPr>
      <w:r>
        <w:rPr>
          <w:rFonts w:hint="eastAsia" w:ascii="微软雅黑" w:hAnsi="微软雅黑" w:eastAsia="微软雅黑" w:cs="微软雅黑"/>
          <w:bCs w:val="0"/>
          <w:kern w:val="2"/>
          <w:sz w:val="24"/>
          <w:szCs w:val="24"/>
          <w:lang w:val="en-US" w:eastAsia="zh-CN" w:bidi="ar-SA"/>
        </w:rPr>
        <w:t>2.交付时间：供应商在收到采购人配送通知后1日内完成日常配送工作。若遇特殊情况不能按时配送的，成交供应商需经采购人同意后方可延期配送。</w:t>
      </w:r>
    </w:p>
    <w:p w14:paraId="3F6FB51D">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微软雅黑" w:hAnsi="微软雅黑" w:eastAsia="微软雅黑" w:cs="微软雅黑"/>
          <w:bCs w:val="0"/>
          <w:kern w:val="2"/>
          <w:sz w:val="24"/>
          <w:szCs w:val="24"/>
          <w:lang w:val="en-US" w:eastAsia="zh-CN" w:bidi="ar-SA"/>
        </w:rPr>
      </w:pPr>
      <w:r>
        <w:rPr>
          <w:rFonts w:hint="eastAsia" w:ascii="微软雅黑" w:hAnsi="微软雅黑" w:eastAsia="微软雅黑" w:cs="微软雅黑"/>
          <w:bCs w:val="0"/>
          <w:kern w:val="2"/>
          <w:sz w:val="24"/>
          <w:szCs w:val="24"/>
          <w:lang w:val="en-US" w:eastAsia="zh-CN" w:bidi="ar-SA"/>
        </w:rPr>
        <w:t>3.卸货、搬运至指定科室，空桶回收（一次性桶除外）均由成交供应商负责。</w:t>
      </w:r>
    </w:p>
    <w:p w14:paraId="6ED02BB0">
      <w:pPr>
        <w:bidi w:val="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bCs/>
          <w:lang w:val="en-US" w:eastAsia="zh-CN"/>
        </w:rPr>
        <w:t>（三）服务期限：</w:t>
      </w:r>
      <w:r>
        <w:rPr>
          <w:rFonts w:hint="eastAsia" w:ascii="微软雅黑" w:hAnsi="微软雅黑" w:eastAsia="微软雅黑" w:cs="微软雅黑"/>
          <w:b w:val="0"/>
          <w:bCs w:val="0"/>
          <w:kern w:val="2"/>
          <w:sz w:val="24"/>
          <w:szCs w:val="24"/>
          <w:lang w:val="en-US" w:eastAsia="zh-CN" w:bidi="ar-SA"/>
        </w:rPr>
        <w:t>自合同签订之日起一年，当合同期结束或项目结算金额累计达到采购预算金额50000元时，该合同自动终止。（以先到者为准）</w:t>
      </w:r>
    </w:p>
    <w:p w14:paraId="0A8AC435">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（四）包装及运输</w:t>
      </w:r>
    </w:p>
    <w:p w14:paraId="44AA86B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1.包装必须与运输方式相适应，包装方式的确定及包装费用均由成交供应商负责；由于不适当的包装而造成货物在运输过程中有任何损坏、丢失由乙方负责。</w:t>
      </w:r>
    </w:p>
    <w:p w14:paraId="41DE5CE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2.包装应足以承受整个过程中的运输、转运、装卸、储存等，充分考虑到运输途中的各种情况（如暴露于恶劣气候等）和中山地区的气候特点，以及露天存放的需要。</w:t>
      </w:r>
    </w:p>
    <w:p w14:paraId="32FB9CB6">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由成交供应商直接派人将货物运送至采购人指定科室，货物送到现场过程中的全部运输，包括装卸车、货物现场的搬运，费用由成交供应商负责。不接受成交供应商以物流或快递等形式发货，否则，采购人将不予签收和验收。</w:t>
      </w:r>
    </w:p>
    <w:p w14:paraId="38FDE908">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4.货物在现场的保管由成交供应商负责，直至项目验收完毕。</w:t>
      </w:r>
    </w:p>
    <w:p w14:paraId="68348A9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5.包装费、运费已包含在合同价内。</w:t>
      </w:r>
    </w:p>
    <w:p w14:paraId="66F6D57F">
      <w:pPr>
        <w:bidi w:val="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（五）售后服务要求</w:t>
      </w:r>
    </w:p>
    <w:p w14:paraId="4450EDFF">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微软雅黑" w:hAnsi="微软雅黑" w:eastAsia="微软雅黑" w:cs="微软雅黑"/>
          <w:bCs w:val="0"/>
          <w:kern w:val="2"/>
          <w:sz w:val="24"/>
          <w:szCs w:val="24"/>
          <w:lang w:val="en-US" w:eastAsia="zh-CN" w:bidi="ar-SA"/>
        </w:rPr>
      </w:pPr>
      <w:r>
        <w:rPr>
          <w:rFonts w:hint="eastAsia" w:ascii="微软雅黑" w:hAnsi="微软雅黑" w:eastAsia="微软雅黑" w:cs="微软雅黑"/>
          <w:bCs w:val="0"/>
          <w:kern w:val="2"/>
          <w:sz w:val="24"/>
          <w:szCs w:val="24"/>
          <w:lang w:val="en-US" w:eastAsia="zh-CN" w:bidi="ar-SA"/>
        </w:rPr>
        <w:t>1.饮水机清洁：每季度上门清洁、消毒饮水机内胆及出水口，提供清洁记录单，双方签字确认。</w:t>
      </w:r>
    </w:p>
    <w:p w14:paraId="125668DB">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微软雅黑" w:hAnsi="微软雅黑" w:eastAsia="微软雅黑" w:cs="微软雅黑"/>
          <w:lang w:val="en-US" w:eastAsia="zh-CN"/>
        </w:rPr>
      </w:pPr>
      <w:r>
        <w:rPr>
          <w:rFonts w:hint="eastAsia" w:ascii="微软雅黑" w:hAnsi="微软雅黑" w:eastAsia="微软雅黑" w:cs="微软雅黑"/>
          <w:bCs w:val="0"/>
          <w:kern w:val="2"/>
          <w:sz w:val="24"/>
          <w:szCs w:val="24"/>
          <w:lang w:val="en-US" w:eastAsia="zh-CN" w:bidi="ar-SA"/>
        </w:rPr>
        <w:t>2.应急服务：突发断供、水质异常，供应商1小时内响应，2小时内解决或更换合格产品。</w:t>
      </w:r>
    </w:p>
    <w:p w14:paraId="32084268">
      <w:pPr>
        <w:bidi w:val="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（六）结算及付款方式</w:t>
      </w:r>
    </w:p>
    <w:p w14:paraId="569099AB">
      <w:pPr>
        <w:bidi w:val="0"/>
        <w:rPr>
          <w:rFonts w:hint="default" w:ascii="微软雅黑" w:hAnsi="微软雅黑" w:eastAsia="微软雅黑" w:cs="微软雅黑"/>
          <w:spacing w:val="0"/>
          <w:kern w:val="2"/>
          <w:sz w:val="24"/>
          <w:szCs w:val="24"/>
          <w:lang w:val="en-US" w:eastAsia="zh-CN" w:bidi="ar-SA"/>
        </w:rPr>
      </w:pPr>
      <w:r>
        <w:rPr>
          <w:rFonts w:hint="default" w:ascii="微软雅黑" w:hAnsi="微软雅黑" w:eastAsia="微软雅黑" w:cs="微软雅黑"/>
          <w:lang w:val="en-US" w:eastAsia="zh-CN"/>
        </w:rPr>
        <w:t>1</w:t>
      </w:r>
      <w:r>
        <w:rPr>
          <w:rFonts w:hint="eastAsia" w:ascii="微软雅黑" w:hAnsi="微软雅黑" w:eastAsia="微软雅黑" w:cs="微软雅黑"/>
          <w:lang w:val="en-US" w:eastAsia="zh-CN"/>
        </w:rPr>
        <w:t>.</w:t>
      </w:r>
      <w:r>
        <w:rPr>
          <w:rFonts w:hint="eastAsia" w:ascii="微软雅黑" w:hAnsi="微软雅黑" w:eastAsia="微软雅黑" w:cs="微软雅黑"/>
          <w:spacing w:val="0"/>
          <w:kern w:val="2"/>
          <w:sz w:val="24"/>
          <w:szCs w:val="24"/>
          <w:lang w:val="en-US" w:eastAsia="zh-CN" w:bidi="ar-SA"/>
        </w:rPr>
        <w:t>每月按实际发生费用进行结算。供应商应于次月度开始15天内向采购人提交经双方确认的供货明细单并开具正式发票，采购人收到发票三个月内办理支付手续，结算金额=Σ（各产品供货单价×实际供货量）。</w:t>
      </w:r>
    </w:p>
    <w:p w14:paraId="18687B07">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2.本合同款项以人民币通过银行转账方式结算，乙方凭以下资料申请款项支付：</w:t>
      </w:r>
    </w:p>
    <w:p w14:paraId="68F7480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①合同复印件；②送货单；③乙方开具对应款项的正规全额发票和对应款项收据。</w:t>
      </w:r>
    </w:p>
    <w:p w14:paraId="64A44D96">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0E119C41">
      <w:pPr>
        <w:bidi w:val="0"/>
        <w:rPr>
          <w:rFonts w:hint="eastAsia" w:ascii="微软雅黑" w:hAnsi="微软雅黑" w:eastAsia="微软雅黑" w:cs="微软雅黑"/>
          <w:b/>
          <w:bCs/>
          <w:lang w:val="en-US" w:eastAsia="zh-CN"/>
        </w:rPr>
      </w:pPr>
      <w:bookmarkStart w:id="0" w:name="_Toc259090960"/>
      <w:r>
        <w:rPr>
          <w:rFonts w:hint="eastAsia" w:ascii="微软雅黑" w:hAnsi="微软雅黑" w:eastAsia="微软雅黑" w:cs="微软雅黑"/>
          <w:b/>
          <w:bCs/>
          <w:lang w:val="en-US" w:eastAsia="zh-CN"/>
        </w:rPr>
        <w:t>五、评审方法</w:t>
      </w:r>
    </w:p>
    <w:p w14:paraId="0B1FAE58">
      <w:pPr>
        <w:bidi w:val="0"/>
        <w:rPr>
          <w:rFonts w:hint="eastAsia" w:ascii="微软雅黑" w:hAnsi="微软雅黑" w:eastAsia="微软雅黑" w:cs="微软雅黑"/>
          <w:highlight w:val="yellow"/>
          <w:lang w:val="en-US" w:eastAsia="zh-CN"/>
        </w:rPr>
      </w:pPr>
      <w:r>
        <w:rPr>
          <w:rFonts w:hint="eastAsia" w:ascii="微软雅黑" w:hAnsi="微软雅黑" w:eastAsia="微软雅黑" w:cs="微软雅黑"/>
          <w:highlight w:val="yellow"/>
          <w:lang w:val="en-US" w:eastAsia="zh-CN"/>
        </w:rPr>
        <w:t>经评审的最低价：评审小组根据符合采购需求质量和服务且价格最低的原则确定成交供应商。</w:t>
      </w:r>
    </w:p>
    <w:p w14:paraId="4FBE916E">
      <w:pPr>
        <w:bidi w:val="0"/>
        <w:rPr>
          <w:rFonts w:hint="eastAsia" w:ascii="微软雅黑" w:hAnsi="微软雅黑" w:eastAsia="微软雅黑" w:cs="微软雅黑"/>
          <w:highlight w:val="yellow"/>
          <w:lang w:val="en-US" w:eastAsia="zh-CN"/>
        </w:rPr>
      </w:pPr>
      <w:r>
        <w:rPr>
          <w:rFonts w:hint="eastAsia" w:ascii="微软雅黑" w:hAnsi="微软雅黑" w:eastAsia="微软雅黑" w:cs="微软雅黑"/>
          <w:highlight w:val="yellow"/>
          <w:lang w:val="en-US" w:eastAsia="zh-CN"/>
        </w:rPr>
        <w:t>注：如报价相同时，可根据供货时间、服务便利性等因素择优推荐排名。</w:t>
      </w:r>
    </w:p>
    <w:bookmarkEnd w:id="0"/>
    <w:p w14:paraId="0FC5374C">
      <w:pPr>
        <w:bidi w:val="0"/>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六、合同订立</w:t>
      </w:r>
    </w:p>
    <w:p w14:paraId="1948619C">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1、定标程序：采购人按照评审汇总表确定排名第一的为成交供应商。</w:t>
      </w:r>
    </w:p>
    <w:p w14:paraId="0C19598E">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2、成交供应</w:t>
      </w:r>
      <w:r>
        <w:rPr>
          <w:rFonts w:hint="eastAsia" w:ascii="微软雅黑" w:hAnsi="微软雅黑" w:eastAsia="微软雅黑" w:cs="微软雅黑"/>
          <w:b w:val="0"/>
          <w:bCs w:val="0"/>
          <w:kern w:val="2"/>
          <w:sz w:val="24"/>
          <w:szCs w:val="24"/>
          <w:lang w:val="en-US" w:eastAsia="zh-CN" w:bidi="ar-SA"/>
        </w:rPr>
        <w:t>商确定后，成交供应商拒绝与采购人签订合同的或者放弃成交资格，采购人可以按照评审汇</w:t>
      </w:r>
      <w:r>
        <w:rPr>
          <w:rFonts w:hint="eastAsia" w:ascii="微软雅黑" w:hAnsi="微软雅黑" w:eastAsia="微软雅黑" w:cs="微软雅黑"/>
          <w:lang w:val="en-US" w:eastAsia="zh-CN"/>
        </w:rPr>
        <w:t>总表的排序，递补确定排名第二的供应商为成交供应商，也可以重新开展采购活动。</w:t>
      </w:r>
    </w:p>
    <w:p w14:paraId="5C0214F7">
      <w:pPr>
        <w:bidi w:val="0"/>
        <w:rPr>
          <w:rFonts w:hint="default"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3、合同终止：供应商逾期配送、水质不合格、清洁服务不到位，累计3次，采购人有权单方终止合同。</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6A041CA"/>
    <w:rsid w:val="07FA08B3"/>
    <w:rsid w:val="09AE6AAA"/>
    <w:rsid w:val="108C1CE9"/>
    <w:rsid w:val="1EC341D8"/>
    <w:rsid w:val="33557238"/>
    <w:rsid w:val="3670645E"/>
    <w:rsid w:val="3DBF0FE8"/>
    <w:rsid w:val="5AB36DD5"/>
    <w:rsid w:val="6044285D"/>
    <w:rsid w:val="60947B93"/>
    <w:rsid w:val="60DF1113"/>
    <w:rsid w:val="6158132F"/>
    <w:rsid w:val="625622D9"/>
    <w:rsid w:val="65291B32"/>
    <w:rsid w:val="6F5F641E"/>
    <w:rsid w:val="71321BD9"/>
    <w:rsid w:val="75F547A2"/>
    <w:rsid w:val="77506F76"/>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4">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2"/>
    <w:qFormat/>
    <w:uiPriority w:val="0"/>
    <w:rPr>
      <w:rFonts w:ascii="Arial" w:hAnsi="Arial" w:eastAsia="宋体" w:cs="Times New Roman"/>
      <w:b/>
      <w:bCs/>
      <w:sz w:val="32"/>
      <w:szCs w:val="32"/>
    </w:rPr>
  </w:style>
  <w:style w:type="character" w:customStyle="1" w:styleId="17">
    <w:name w:val="标题 3 Char"/>
    <w:link w:val="4"/>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 w:type="paragraph" w:customStyle="1" w:styleId="23">
    <w:name w:val="表格文字"/>
    <w:basedOn w:val="1"/>
    <w:next w:val="6"/>
    <w:autoRedefine/>
    <w:qFormat/>
    <w:uiPriority w:val="0"/>
    <w:pPr>
      <w:widowControl w:val="0"/>
      <w:spacing w:before="25" w:after="25" w:line="300" w:lineRule="auto"/>
      <w:jc w:val="both"/>
    </w:pPr>
    <w:rPr>
      <w:rFonts w:ascii="Times" w:hAnsi="Times"/>
      <w:spacing w:val="1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1898</Words>
  <Characters>1994</Characters>
  <Lines>0</Lines>
  <Paragraphs>0</Paragraphs>
  <TotalTime>0</TotalTime>
  <ScaleCrop>false</ScaleCrop>
  <LinksUpToDate>false</LinksUpToDate>
  <CharactersWithSpaces>1995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2026-05-18T13:24:20Z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0078322C9F994E56A3840D7AAA500C19_11</vt:lpwstr>
  </property>
  <property fmtid="{D5CDD505-2E9C-101B-9397-08002B2CF9AE}" pid="4" name="KSOTemplateDocerSaveRecord">
    <vt:lpwstr>eyJoZGlkIjoiYzljYzAwZTRiOTRkMmViNzA0OTFlNDFkMjUwNjJmZDciLCJ1c2VySWQiOiI2NDkzNjEyODAifQ==</vt:lpwstr>
  </property>
</Properties>
</file>