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val="0"/>
          <w:bCs/>
          <w:color w:val="auto"/>
          <w:sz w:val="28"/>
          <w:szCs w:val="28"/>
          <w:lang w:val="en-US" w:eastAsia="zh-CN"/>
        </w:rPr>
        <w:t>项目需求书</w:t>
      </w:r>
    </w:p>
    <w:p w14:paraId="275D203D">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6606"/>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347" w:type="dxa"/>
          </w:tcPr>
          <w:p w14:paraId="66EAFF37">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606" w:type="dxa"/>
          </w:tcPr>
          <w:p w14:paraId="006DFF07">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中山市口腔医院智能停车场管理系统及其配套服务采购项目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47" w:type="dxa"/>
          </w:tcPr>
          <w:p w14:paraId="44ECE8B7">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6606" w:type="dxa"/>
          </w:tcPr>
          <w:p w14:paraId="4D49B931">
            <w:pPr>
              <w:spacing w:line="360" w:lineRule="auto"/>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40000元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47" w:type="dxa"/>
          </w:tcPr>
          <w:p w14:paraId="3BFC5E92">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报价最高限价</w:t>
            </w:r>
          </w:p>
        </w:tc>
        <w:tc>
          <w:tcPr>
            <w:tcW w:w="6606" w:type="dxa"/>
          </w:tcPr>
          <w:p w14:paraId="7DC1F74F">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40000元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FF0000"/>
                <w:sz w:val="24"/>
                <w:szCs w:val="24"/>
                <w:lang w:val="en-US" w:eastAsia="zh-CN"/>
              </w:rPr>
              <w:t>供应商报价不得超过“报价最高限价”，否则视为无效报价。</w:t>
            </w:r>
          </w:p>
        </w:tc>
      </w:tr>
    </w:tbl>
    <w:p w14:paraId="2A81CF6C">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采购需求</w:t>
      </w:r>
    </w:p>
    <w:p w14:paraId="3AF34E22">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14:paraId="427D704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b/>
          <w:bCs/>
        </w:rPr>
      </w:pPr>
      <w:r>
        <w:rPr>
          <w:rFonts w:hint="eastAsia"/>
        </w:rPr>
        <w:t>本项目拟建设一套一进一出单向通行智能停车场管理系统，旨在实现车辆进出全流程智能化管控，涵盖自动识别放行、计费收费、数据记录及后台管理等核心功能，全面提升停车场通行效率与日常运营管理水平。</w:t>
      </w:r>
    </w:p>
    <w:p w14:paraId="2A513C16">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采购范围</w:t>
      </w:r>
    </w:p>
    <w:p w14:paraId="476CFF25">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本次采购采用固定总价包干模式，范围</w:t>
      </w:r>
      <w:r>
        <w:rPr>
          <w:rFonts w:hint="eastAsia" w:ascii="Times New Roman" w:hAnsi="Times New Roman" w:cs="Times New Roman"/>
          <w:lang w:val="en-US" w:eastAsia="zh-CN"/>
        </w:rPr>
        <w:t>包括但不限于</w:t>
      </w:r>
      <w:r>
        <w:rPr>
          <w:rFonts w:hint="eastAsia" w:ascii="Times New Roman" w:hAnsi="Times New Roman" w:cs="Times New Roman"/>
        </w:rPr>
        <w:t>：</w:t>
      </w:r>
    </w:p>
    <w:p w14:paraId="7F581F43">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全套智能管理设备（含入口、出口端硬件）；</w:t>
      </w:r>
    </w:p>
    <w:p w14:paraId="5011EBCA">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系统管理软件及配套授权；</w:t>
      </w:r>
    </w:p>
    <w:p w14:paraId="468AC10F">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安装辅材、线缆及配件；</w:t>
      </w:r>
    </w:p>
    <w:p w14:paraId="41665D9B">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设备运输、现场安装布线、系统集成调试；</w:t>
      </w:r>
    </w:p>
    <w:p w14:paraId="0AF4BF2A">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操作培训、质保服务及税费等全部费用。</w:t>
      </w:r>
    </w:p>
    <w:p w14:paraId="66DF8C78">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供应商报价总价应包括实施本项目的全部费用。供应商须结合现场实际情况，自主优化设备配置方案、施工组织设计及配套服务内容，确保整套系统完整联动、稳定可靠、即装即用。</w:t>
      </w:r>
    </w:p>
    <w:p w14:paraId="219A2C8E">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主要功能要求</w:t>
      </w:r>
    </w:p>
    <w:p w14:paraId="69F62976">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智能识别与分类管理</w:t>
      </w:r>
    </w:p>
    <w:p w14:paraId="7D5673FF">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实现车辆车牌自动识别进出，自动抓拍并留存影像记录；支持固定车辆与临时车辆分类登记、差异化权限管理。</w:t>
      </w:r>
    </w:p>
    <w:p w14:paraId="423C827E">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灵活计费与多元支付</w:t>
      </w:r>
    </w:p>
    <w:p w14:paraId="5E4E5BEB">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具备多模式计费管理能力，支持按时、按次、包月、分时段阶梯等多种收费规则；兼容主流线上支付方式（微信、支付宝等），满足日常收费运营需求。</w:t>
      </w:r>
    </w:p>
    <w:p w14:paraId="045B19A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数据管理与报表输出</w:t>
      </w:r>
    </w:p>
    <w:p w14:paraId="4656B470">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配套完善的管理后台，支持车辆通行记录查询、收费明细统计、财务报表生成及数据导出，满足日常台账管理与审计追溯需求。</w:t>
      </w:r>
    </w:p>
    <w:p w14:paraId="3064FE88">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安全防护与应急保障</w:t>
      </w:r>
    </w:p>
    <w:p w14:paraId="08F40B9D">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道闸设备须具备防砸车、防夹人安全保护机制，支持断电应急放行、消防联动开闸等功能；所有户外设备须具备防水、防尘、防雷、耐候性能，适配长期室外运行环境。</w:t>
      </w:r>
    </w:p>
    <w:p w14:paraId="6FDF29AB">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扩展兼容与升级预留</w:t>
      </w:r>
    </w:p>
    <w:p w14:paraId="0A51A43A">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系统架构须预留拓展接口，支持后期功能模块升级、设备点位扩容及第三方平台对接改造，保护投资延续性。</w:t>
      </w:r>
    </w:p>
    <w:p w14:paraId="5014F962">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政务平台对接要求</w:t>
      </w:r>
    </w:p>
    <w:p w14:paraId="2F90C1B3">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为响应中山市加快建设市级统一智慧停车平台的工作部署，交付使用的停车收费系统须具备对接中山市政务大数据中心的能力，能够将停车信息数据统一接入中山市智慧停车平台，实现数据互联互通。</w:t>
      </w:r>
    </w:p>
    <w:p w14:paraId="70BF2A2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7.</w:t>
      </w:r>
      <w:r>
        <w:rPr>
          <w:rFonts w:hint="eastAsia" w:ascii="Times New Roman" w:hAnsi="Times New Roman" w:cs="Times New Roman"/>
        </w:rPr>
        <w:t>支付开票管理</w:t>
      </w:r>
    </w:p>
    <w:p w14:paraId="2C7D3CD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系统须支持在小程序后台配置甲方开票信息，供有需要的用户自行申请开具电子发票。</w:t>
      </w:r>
    </w:p>
    <w:p w14:paraId="64611B83">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设备与施工要求</w:t>
      </w:r>
    </w:p>
    <w:p w14:paraId="48D1B93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硬件品质要求</w:t>
      </w:r>
    </w:p>
    <w:p w14:paraId="1F401FD4">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核心硬件须选用市场成熟主流品牌产品，确保技术先进、性能稳定；所有户外设备</w:t>
      </w:r>
      <w:r>
        <w:rPr>
          <w:rFonts w:hint="eastAsia" w:ascii="Times New Roman" w:hAnsi="Times New Roman" w:cs="Times New Roman"/>
          <w:lang w:val="en-US" w:eastAsia="zh-CN"/>
        </w:rPr>
        <w:t>应</w:t>
      </w:r>
      <w:r>
        <w:rPr>
          <w:rFonts w:hint="eastAsia" w:ascii="Times New Roman" w:hAnsi="Times New Roman" w:cs="Times New Roman"/>
        </w:rPr>
        <w:t>具备防水、防尘、防雷击及宽温耐候性能；全部设备须为全新正品，出厂资料、合格证、说明书齐全完备。</w:t>
      </w:r>
    </w:p>
    <w:p w14:paraId="7A5B126F">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现场施工要求</w:t>
      </w:r>
    </w:p>
    <w:p w14:paraId="413121B9">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供应商</w:t>
      </w:r>
      <w:r>
        <w:rPr>
          <w:rFonts w:hint="eastAsia" w:ascii="Times New Roman" w:hAnsi="Times New Roman" w:cs="Times New Roman"/>
        </w:rPr>
        <w:t>须在投标前自行完成现场踏勘，结合场地条件合理规划设备安装布局、管线走向及施工方案；施工过程须规范作业、文明施工，完工后及时清理现场、恢复环境。</w:t>
      </w:r>
    </w:p>
    <w:p w14:paraId="345F3EA3">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系统联调要求</w:t>
      </w:r>
    </w:p>
    <w:p w14:paraId="1DD87DE6">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完成全系统软硬件联调测试，确保出入口设备协同运行、数据实时同步、业务流程闭环，达到整体交付标准。</w:t>
      </w:r>
    </w:p>
    <w:p w14:paraId="449BA7BC">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服务及质保要求</w:t>
      </w:r>
    </w:p>
    <w:p w14:paraId="73AF2E09">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培训与资料交付</w:t>
      </w:r>
    </w:p>
    <w:p w14:paraId="20C06F73">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提供不少于1次的现场操作使用培训，确保甲方相关人员熟练掌握系统操作与日常维护；交付完整的竣工资料。</w:t>
      </w:r>
    </w:p>
    <w:p w14:paraId="292F139A">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质保期限</w:t>
      </w:r>
    </w:p>
    <w:p w14:paraId="30AD24E1">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整体质保期不少于1年（自验收合格之日起计算）。供应商可自主延长质保年限作为服务竞争优势。</w:t>
      </w:r>
    </w:p>
    <w:p w14:paraId="4EEDDF23">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质保服务内容</w:t>
      </w:r>
    </w:p>
    <w:p w14:paraId="4C1C6C2B">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质保期内对非人为损坏的软硬件故障提供免费维修、更换服务；提供7×24小时远程技术支持及必要时上门现场服务。</w:t>
      </w:r>
    </w:p>
    <w:p w14:paraId="2C2679A8">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长期维保承诺</w:t>
      </w:r>
    </w:p>
    <w:p w14:paraId="4A3561CF">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质保期满后，供应商须提供长期技术咨询及优惠的后续维保服务方案，确保系统持续稳定运行。</w:t>
      </w:r>
    </w:p>
    <w:p w14:paraId="10F240BE">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商务报价要求</w:t>
      </w:r>
    </w:p>
    <w:p w14:paraId="7D81724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报价模式</w:t>
      </w:r>
    </w:p>
    <w:p w14:paraId="522BE637">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本项目采用固定总价包干方式，报价须包含设备、软件、施工、调试、培训、质保及税费等全部实施与服务费用，合同执行期间不因任何因素追加费用。</w:t>
      </w:r>
    </w:p>
    <w:p w14:paraId="143CDDEF">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方案编制</w:t>
      </w:r>
    </w:p>
    <w:p w14:paraId="20C34896">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投标单位须依据本需求文件，自主编制详细技术方案、设备配置清单、服务承诺及分项报价明细表。</w:t>
      </w:r>
    </w:p>
    <w:p w14:paraId="3D463F62">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工期要求</w:t>
      </w:r>
    </w:p>
    <w:p w14:paraId="663111B4">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明确项目实施总周期（含供货、安装、调试、培训及验收移交），并承诺按期完成交付。</w:t>
      </w:r>
    </w:p>
    <w:p w14:paraId="619B1A84">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验收标准</w:t>
      </w:r>
    </w:p>
    <w:p w14:paraId="0738BBC6">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硬件验收</w:t>
      </w:r>
    </w:p>
    <w:p w14:paraId="294F4298">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全部设备安装到位、布线规范、标识清晰，外观无损伤，运行无异常。</w:t>
      </w:r>
    </w:p>
    <w:p w14:paraId="6708B790">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功能验收</w:t>
      </w:r>
    </w:p>
    <w:p w14:paraId="5C85B1A9">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系统各项功能运行正常，车牌识别准确率、收费逻辑、数据同步、报表输出、平台对接等均满足本需求文件要求。</w:t>
      </w:r>
    </w:p>
    <w:p w14:paraId="4623CFD5">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资料验收</w:t>
      </w:r>
    </w:p>
    <w:p w14:paraId="1CDAB689">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竣工资料等文档齐全、规范，符合档案管理要求。</w:t>
      </w:r>
    </w:p>
    <w:p w14:paraId="3AB4ABA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稳定性验收</w:t>
      </w:r>
    </w:p>
    <w:p w14:paraId="1BCA4CC5">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系统连续试运行不少于</w:t>
      </w:r>
      <w:r>
        <w:rPr>
          <w:rFonts w:hint="eastAsia" w:ascii="Times New Roman" w:hAnsi="Times New Roman" w:cs="Times New Roman"/>
          <w:lang w:val="en-US" w:eastAsia="zh-CN"/>
        </w:rPr>
        <w:t>15</w:t>
      </w:r>
      <w:r>
        <w:rPr>
          <w:rFonts w:hint="eastAsia" w:ascii="Times New Roman" w:hAnsi="Times New Roman" w:cs="Times New Roman"/>
        </w:rPr>
        <w:t>日无故障，各项性能指标稳定达标，经甲方确认后正式验收交付。</w:t>
      </w:r>
    </w:p>
    <w:p w14:paraId="4029C556">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付款方式及条件：</w:t>
      </w:r>
    </w:p>
    <w:p w14:paraId="7DB89652">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1.付款方式：银行转账结算。</w:t>
      </w:r>
    </w:p>
    <w:p w14:paraId="457D37ED">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color w:val="auto"/>
        </w:rPr>
      </w:pPr>
      <w:bookmarkStart w:id="0" w:name="_GoBack"/>
      <w:r>
        <w:rPr>
          <w:rFonts w:hint="eastAsia" w:ascii="Times New Roman" w:hAnsi="Times New Roman" w:cs="Times New Roman"/>
          <w:color w:val="auto"/>
        </w:rPr>
        <w:t>2.付款时间及条件：</w:t>
      </w:r>
    </w:p>
    <w:p w14:paraId="4EFF4237">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color w:val="auto"/>
        </w:rPr>
      </w:pPr>
      <w:r>
        <w:rPr>
          <w:rFonts w:hint="eastAsia" w:ascii="Times New Roman" w:hAnsi="Times New Roman" w:cs="Times New Roman"/>
          <w:color w:val="auto"/>
        </w:rPr>
        <w:t>（1）合同签订后，供方完成本项目全部服务内容，经需方验收合格，供方提供有效发票后</w:t>
      </w:r>
      <w:r>
        <w:rPr>
          <w:rFonts w:hint="eastAsia" w:ascii="Times New Roman" w:hAnsi="Times New Roman" w:cs="Times New Roman"/>
          <w:color w:val="auto"/>
          <w:lang w:val="en-US" w:eastAsia="zh-CN"/>
        </w:rPr>
        <w:t>30个工作日</w:t>
      </w:r>
      <w:r>
        <w:rPr>
          <w:rFonts w:hint="eastAsia" w:ascii="Times New Roman" w:hAnsi="Times New Roman" w:cs="Times New Roman"/>
          <w:color w:val="auto"/>
        </w:rPr>
        <w:t>内，需方一次性支付合同总金额的</w:t>
      </w:r>
      <w:r>
        <w:rPr>
          <w:rFonts w:hint="eastAsia" w:ascii="Times New Roman" w:hAnsi="Times New Roman" w:cs="Times New Roman"/>
          <w:color w:val="auto"/>
          <w:lang w:val="en-US" w:eastAsia="zh-CN"/>
        </w:rPr>
        <w:t>100</w:t>
      </w:r>
      <w:r>
        <w:rPr>
          <w:rFonts w:hint="eastAsia" w:ascii="Times New Roman" w:hAnsi="Times New Roman" w:cs="Times New Roman"/>
          <w:color w:val="auto"/>
        </w:rPr>
        <w:t>%。</w:t>
      </w:r>
    </w:p>
    <w:bookmarkEnd w:id="0"/>
    <w:p w14:paraId="39DF0981">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rPr>
        <w:t>（</w:t>
      </w:r>
      <w:r>
        <w:rPr>
          <w:rFonts w:hint="eastAsia" w:ascii="Times New Roman" w:hAnsi="Times New Roman" w:cs="Times New Roman"/>
          <w:lang w:val="en-US" w:eastAsia="zh-CN"/>
        </w:rPr>
        <w:t>2）合同的款项以人民币通过银行转账方式结算，</w:t>
      </w:r>
      <w:r>
        <w:rPr>
          <w:rFonts w:hint="eastAsia" w:ascii="Times New Roman" w:hAnsi="Times New Roman" w:cs="Times New Roman"/>
        </w:rPr>
        <w:t>供方</w:t>
      </w:r>
      <w:r>
        <w:rPr>
          <w:rFonts w:hint="eastAsia" w:ascii="Times New Roman" w:hAnsi="Times New Roman" w:cs="Times New Roman"/>
          <w:lang w:val="en-US" w:eastAsia="zh-CN"/>
        </w:rPr>
        <w:t>凭以下资料申请款项支付：</w:t>
      </w:r>
    </w:p>
    <w:p w14:paraId="7D220F52">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①合同复印件；</w:t>
      </w:r>
    </w:p>
    <w:p w14:paraId="1E81909A">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②对应款项的正规全额发票和对应款项收据；</w:t>
      </w:r>
    </w:p>
    <w:p w14:paraId="7D4C26D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③验收合格文件。</w:t>
      </w:r>
    </w:p>
    <w:p w14:paraId="3FFACFD0">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cs="Times New Roman"/>
        </w:rPr>
      </w:pPr>
      <w:r>
        <w:rPr>
          <w:rFonts w:hint="eastAsia" w:ascii="Times New Roman" w:hAnsi="Times New Roman" w:cs="Times New Roman"/>
        </w:rPr>
        <w:t>成交金额包含了本项目可能涉及的一切费用，包括人员费用</w:t>
      </w:r>
      <w:r>
        <w:rPr>
          <w:rFonts w:hint="eastAsia" w:ascii="Times New Roman" w:hAnsi="Times New Roman" w:cs="Times New Roman"/>
          <w:lang w:eastAsia="zh-CN"/>
        </w:rPr>
        <w:t>、</w:t>
      </w:r>
      <w:r>
        <w:rPr>
          <w:rFonts w:hint="eastAsia" w:ascii="Times New Roman" w:hAnsi="Times New Roman" w:cs="Times New Roman"/>
        </w:rPr>
        <w:t>仪器设备费及所需的一切材料费、税费及合同履行过程中不可预见费用等，需方不再支付任何其他费用。</w:t>
      </w:r>
    </w:p>
    <w:p w14:paraId="6B9D0380">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eastAsia="宋体"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因甲方使用资金需要经过财务审批程序，甲方在前款规定的付款时间为向财务部门提出办理支付申请手续的时间（不含财务部门、支付部门审核的时间），在规定时间内提出支付申请手续后即视为甲方已经按期支付。</w:t>
      </w:r>
    </w:p>
    <w:p w14:paraId="25534DC4">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知识产权及保密：</w:t>
      </w:r>
    </w:p>
    <w:p w14:paraId="770F9A8E">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1.成交供应商应保证其向采购人提供的本合同项下的货物或服务以及其中包含的任何一部分不侵犯任何第三方的作品、发明专利、商业秘密等知识产权。如因上述原因，第三方向采购人提起侵权诉讼，成交供应商负责交涉、处理并承担由此引起的全部法律及经济责任。</w:t>
      </w:r>
    </w:p>
    <w:p w14:paraId="07DA539C">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2.一方对另一方提供的技术资料、样件、图纸及其他与质量、技术、经营相关信息（包括但不限于价格、数量）有保密义务。双方应确保其人员及相关协作方承担保密义务。</w:t>
      </w:r>
    </w:p>
    <w:p w14:paraId="6BADBE13">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3.成交供应商保证，成交供应商依据本合同提供的货物或服务以及与之相关的软件和技术资料，成交供应商均已得到有关知识产权的权利人的合法授权，如发生涉及到专利权、著作权、商标权等争议，成交供应商负责交涉、处理，并承担由此引起的对第三人和采购人的全部法律及经济责任。</w:t>
      </w:r>
    </w:p>
    <w:p w14:paraId="098AC520">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4.本合同中涉及知识产权任何条款，在合同期限内及合同终止后持续有效。</w:t>
      </w:r>
    </w:p>
    <w:p w14:paraId="2177CE5F">
      <w:pPr>
        <w:pStyle w:val="18"/>
        <w:widowControl/>
        <w:numPr>
          <w:ilvl w:val="0"/>
          <w:numId w:val="1"/>
        </w:numPr>
        <w:spacing w:line="360" w:lineRule="auto"/>
        <w:ind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其他：</w:t>
      </w:r>
    </w:p>
    <w:p w14:paraId="6C98006D">
      <w:pPr>
        <w:keepNext w:val="0"/>
        <w:keepLines w:val="0"/>
        <w:pageBreakBefore w:val="0"/>
        <w:widowControl w:val="0"/>
        <w:kinsoku/>
        <w:wordWrap/>
        <w:overflowPunct/>
        <w:topLinePunct w:val="0"/>
        <w:autoSpaceDE/>
        <w:autoSpaceDN/>
        <w:bidi w:val="0"/>
        <w:adjustRightInd/>
        <w:snapToGrid/>
        <w:spacing w:beforeAutospacing="0"/>
        <w:ind w:firstLine="480" w:firstLineChars="200"/>
        <w:textAlignment w:val="auto"/>
        <w:rPr>
          <w:rFonts w:hint="eastAsia" w:ascii="Times New Roman" w:hAnsi="Times New Roman" w:eastAsia="宋体" w:cs="Times New Roman"/>
        </w:rPr>
        <w:sectPr>
          <w:headerReference r:id="rId5" w:type="default"/>
          <w:footerReference r:id="rId6" w:type="default"/>
          <w:type w:val="continuous"/>
          <w:pgSz w:w="11900" w:h="16840"/>
          <w:pgMar w:top="1440" w:right="1800" w:bottom="1440" w:left="1800" w:header="851" w:footer="992" w:gutter="0"/>
          <w:pgNumType w:fmt="decimal"/>
          <w:cols w:space="425" w:num="1"/>
          <w:docGrid w:type="lines" w:linePitch="312" w:charSpace="0"/>
        </w:sectPr>
      </w:pPr>
      <w:r>
        <w:rPr>
          <w:rFonts w:hint="eastAsia" w:ascii="Times New Roman" w:hAnsi="Times New Roman" w:eastAsia="宋体" w:cs="Times New Roman"/>
        </w:rPr>
        <w:t>成交供应商在提供服务全流程过程中，发生的所有人身伤害或财产损失均由成交供应商自行承担全部责任。</w:t>
      </w:r>
    </w:p>
    <w:p w14:paraId="33108BB0">
      <w:pPr>
        <w:spacing w:line="360" w:lineRule="auto"/>
        <w:jc w:val="left"/>
        <w:rPr>
          <w:rFonts w:hint="eastAsia" w:ascii="仿宋_GB2312" w:hAnsi="仿宋_GB2312" w:eastAsia="仿宋_GB2312" w:cs="仿宋_GB2312"/>
          <w:i/>
          <w:iCs/>
          <w:color w:val="FF0000"/>
          <w:sz w:val="28"/>
          <w:szCs w:val="28"/>
          <w:highlight w:val="yellow"/>
          <w:lang w:eastAsia="zh-CN"/>
        </w:rPr>
      </w:pPr>
      <w:r>
        <w:rPr>
          <w:rFonts w:hint="eastAsia" w:ascii="仿宋_GB2312" w:hAnsi="仿宋_GB2312" w:eastAsia="仿宋_GB2312" w:cs="仿宋_GB2312"/>
          <w:sz w:val="28"/>
          <w:szCs w:val="28"/>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4"/>
        <w:gridCol w:w="1739"/>
        <w:gridCol w:w="6425"/>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rPr>
              <w:t>评审因素</w:t>
            </w:r>
          </w:p>
        </w:tc>
        <w:tc>
          <w:tcPr>
            <w:tcW w:w="8164" w:type="dxa"/>
            <w:gridSpan w:val="2"/>
            <w:noWrap/>
          </w:tcPr>
          <w:p w14:paraId="22C1D796">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noWrap/>
            <w:vAlign w:val="center"/>
          </w:tcPr>
          <w:p w14:paraId="37EEF42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分值构成</w:t>
            </w:r>
          </w:p>
        </w:tc>
        <w:tc>
          <w:tcPr>
            <w:tcW w:w="8164" w:type="dxa"/>
            <w:gridSpan w:val="2"/>
            <w:noWrap/>
          </w:tcPr>
          <w:p w14:paraId="0EE8D9D7">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商务技术</w:t>
            </w:r>
            <w:r>
              <w:rPr>
                <w:rFonts w:hint="eastAsia" w:ascii="仿宋_GB2312" w:hAnsi="仿宋_GB2312" w:eastAsia="仿宋_GB2312" w:cs="仿宋_GB2312"/>
                <w:sz w:val="24"/>
                <w:szCs w:val="24"/>
              </w:rPr>
              <w:t>部分</w:t>
            </w:r>
            <w:r>
              <w:rPr>
                <w:rFonts w:hint="eastAsia" w:ascii="仿宋_GB2312" w:hAnsi="仿宋_GB2312" w:eastAsia="仿宋_GB2312" w:cs="仿宋_GB2312"/>
                <w:sz w:val="24"/>
                <w:szCs w:val="24"/>
                <w:lang w:val="en-US" w:eastAsia="zh-CN"/>
              </w:rPr>
              <w:t>90</w:t>
            </w:r>
            <w:r>
              <w:rPr>
                <w:rFonts w:hint="eastAsia" w:ascii="仿宋_GB2312" w:hAnsi="仿宋_GB2312" w:eastAsia="仿宋_GB2312" w:cs="仿宋_GB2312"/>
                <w:sz w:val="24"/>
                <w:szCs w:val="24"/>
              </w:rPr>
              <w:t>.0分</w:t>
            </w:r>
          </w:p>
          <w:p w14:paraId="291C36E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价格得分10.0分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Merge w:val="restart"/>
            <w:noWrap/>
            <w:vAlign w:val="center"/>
          </w:tcPr>
          <w:p w14:paraId="13D6E9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商务</w:t>
            </w:r>
            <w:r>
              <w:rPr>
                <w:rFonts w:hint="eastAsia" w:ascii="仿宋_GB2312" w:hAnsi="仿宋_GB2312" w:eastAsia="仿宋_GB2312" w:cs="仿宋_GB2312"/>
                <w:sz w:val="24"/>
                <w:szCs w:val="24"/>
              </w:rPr>
              <w:t>技术部分</w:t>
            </w:r>
          </w:p>
          <w:p w14:paraId="4E05E5EA">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90</w:t>
            </w:r>
            <w:r>
              <w:rPr>
                <w:rFonts w:hint="eastAsia" w:ascii="仿宋_GB2312" w:hAnsi="仿宋_GB2312" w:eastAsia="仿宋_GB2312" w:cs="仿宋_GB2312"/>
                <w:sz w:val="24"/>
                <w:szCs w:val="24"/>
              </w:rPr>
              <w:t>分）</w:t>
            </w:r>
          </w:p>
        </w:tc>
        <w:tc>
          <w:tcPr>
            <w:tcW w:w="1739" w:type="dxa"/>
            <w:noWrap/>
            <w:vAlign w:val="center"/>
          </w:tcPr>
          <w:p w14:paraId="25FC838B">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项目实施方案</w:t>
            </w:r>
          </w:p>
          <w:p w14:paraId="289F16E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6425" w:type="dxa"/>
            <w:noWrap/>
          </w:tcPr>
          <w:p w14:paraId="07C9E26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根据供应商提供的实施方案（包括但不限于</w:t>
            </w:r>
            <w:r>
              <w:rPr>
                <w:rFonts w:hint="eastAsia" w:ascii="仿宋_GB2312" w:hAnsi="仿宋_GB2312" w:eastAsia="仿宋_GB2312" w:cs="仿宋_GB2312"/>
                <w:sz w:val="24"/>
                <w:szCs w:val="24"/>
                <w:lang w:val="en-US" w:eastAsia="zh-CN"/>
              </w:rPr>
              <w:t>详细技术方案、设备配置清单</w:t>
            </w:r>
            <w:r>
              <w:rPr>
                <w:rFonts w:hint="eastAsia" w:ascii="仿宋_GB2312" w:hAnsi="仿宋_GB2312" w:eastAsia="仿宋_GB2312" w:cs="仿宋_GB2312"/>
                <w:sz w:val="24"/>
                <w:szCs w:val="24"/>
              </w:rPr>
              <w:t xml:space="preserve">等）进行评审：  </w:t>
            </w:r>
          </w:p>
          <w:p w14:paraId="412C16AE">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实施方案涵盖上述所有内容，方案详细具体，能细化到采购需求的所有内容且详细具体，科学、实用和合理，完全满足或优于采购需求的，得</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 xml:space="preserve">分；  </w:t>
            </w:r>
          </w:p>
          <w:p w14:paraId="53DC7291">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实施方案涵盖上述所有内容，方案较详细，能比较细化到采购需求的所有内容，较科学、比较实用和合理，比较满足采购需求的，得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5C046BB">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rPr>
              <w:t>实施方案涵盖上述所有内容，方案较完整，基本涵盖采购需求的所有内容，基本合理，基本满足采购需求的，得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分；  </w:t>
            </w:r>
          </w:p>
          <w:p w14:paraId="412CA7D3">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rPr>
              <w:t>实施方案未涵盖上述所有内容，方案不够完整，未涵盖采购需求的所有内容，不够合理，不够满足采购需求的，得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分。 </w:t>
            </w:r>
          </w:p>
          <w:p w14:paraId="675F0CD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注：无相关方案的，不得分。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Merge w:val="continue"/>
            <w:noWrap/>
            <w:vAlign w:val="center"/>
          </w:tcPr>
          <w:p w14:paraId="24F9837E">
            <w:pPr>
              <w:spacing w:line="360" w:lineRule="auto"/>
              <w:jc w:val="center"/>
              <w:rPr>
                <w:rFonts w:hint="eastAsia" w:ascii="仿宋_GB2312" w:hAnsi="仿宋_GB2312" w:eastAsia="仿宋_GB2312" w:cs="仿宋_GB2312"/>
                <w:sz w:val="24"/>
                <w:szCs w:val="24"/>
              </w:rPr>
            </w:pPr>
          </w:p>
        </w:tc>
        <w:tc>
          <w:tcPr>
            <w:tcW w:w="1739" w:type="dxa"/>
            <w:noWrap/>
            <w:vAlign w:val="center"/>
          </w:tcPr>
          <w:p w14:paraId="7CB6B73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项目工期计划</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.0分)</w:t>
            </w:r>
          </w:p>
        </w:tc>
        <w:tc>
          <w:tcPr>
            <w:tcW w:w="6425" w:type="dxa"/>
            <w:noWrap/>
          </w:tcPr>
          <w:p w14:paraId="69878A2C">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根据供应商所提供的</w:t>
            </w:r>
            <w:r>
              <w:rPr>
                <w:rFonts w:hint="eastAsia" w:ascii="仿宋_GB2312" w:hAnsi="仿宋_GB2312" w:eastAsia="仿宋_GB2312" w:cs="仿宋_GB2312"/>
                <w:sz w:val="24"/>
                <w:szCs w:val="24"/>
                <w:lang w:val="en-US" w:eastAsia="zh-CN"/>
              </w:rPr>
              <w:t>项目工期计划（含供货、安装、调试、培训及验收移交等）</w:t>
            </w:r>
            <w:r>
              <w:rPr>
                <w:rFonts w:hint="eastAsia" w:ascii="仿宋_GB2312" w:hAnsi="仿宋_GB2312" w:eastAsia="仿宋_GB2312" w:cs="仿宋_GB2312"/>
                <w:sz w:val="24"/>
                <w:szCs w:val="24"/>
              </w:rPr>
              <w:t>进行横向比较，分档评分：</w:t>
            </w:r>
          </w:p>
          <w:p w14:paraId="7E8000A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项目工期计划</w:t>
            </w:r>
            <w:r>
              <w:rPr>
                <w:rFonts w:hint="eastAsia" w:ascii="仿宋_GB2312" w:hAnsi="仿宋_GB2312" w:eastAsia="仿宋_GB2312" w:cs="仿宋_GB2312"/>
                <w:sz w:val="24"/>
                <w:szCs w:val="24"/>
              </w:rPr>
              <w:t>详细且合理，完全满足要求，得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A462D58">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项目工期计划</w:t>
            </w:r>
            <w:r>
              <w:rPr>
                <w:rFonts w:hint="eastAsia" w:ascii="仿宋_GB2312" w:hAnsi="仿宋_GB2312" w:eastAsia="仿宋_GB2312" w:cs="仿宋_GB2312"/>
                <w:sz w:val="24"/>
                <w:szCs w:val="24"/>
              </w:rPr>
              <w:t>较合理，能满足要求，得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0DE52862">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项目工期计划</w:t>
            </w:r>
            <w:r>
              <w:rPr>
                <w:rFonts w:hint="eastAsia" w:ascii="仿宋_GB2312" w:hAnsi="仿宋_GB2312" w:eastAsia="仿宋_GB2312" w:cs="仿宋_GB2312"/>
                <w:sz w:val="24"/>
                <w:szCs w:val="24"/>
              </w:rPr>
              <w:t>有缺陷，能基本满足要求，得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分； </w:t>
            </w:r>
          </w:p>
          <w:p w14:paraId="152F0276">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项目工期计划</w:t>
            </w:r>
            <w:r>
              <w:rPr>
                <w:rFonts w:hint="eastAsia" w:ascii="仿宋_GB2312" w:hAnsi="仿宋_GB2312" w:eastAsia="仿宋_GB2312" w:cs="仿宋_GB2312"/>
                <w:sz w:val="24"/>
                <w:szCs w:val="24"/>
              </w:rPr>
              <w:t>不合理，得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14:paraId="7CAE3480">
            <w:pPr>
              <w:numPr>
                <w:ilvl w:val="0"/>
                <w:numId w:val="0"/>
              </w:numPr>
              <w:spacing w:line="36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注：无相关</w:t>
            </w:r>
            <w:r>
              <w:rPr>
                <w:rFonts w:hint="eastAsia" w:ascii="仿宋_GB2312" w:hAnsi="仿宋_GB2312" w:eastAsia="仿宋_GB2312" w:cs="仿宋_GB2312"/>
                <w:sz w:val="24"/>
                <w:szCs w:val="24"/>
                <w:lang w:val="en-US" w:eastAsia="zh-CN"/>
              </w:rPr>
              <w:t>内容</w:t>
            </w:r>
            <w:r>
              <w:rPr>
                <w:rFonts w:hint="eastAsia" w:ascii="仿宋_GB2312" w:hAnsi="仿宋_GB2312" w:eastAsia="仿宋_GB2312" w:cs="仿宋_GB2312"/>
                <w:sz w:val="24"/>
                <w:szCs w:val="24"/>
              </w:rPr>
              <w:t>的，不得分。</w:t>
            </w:r>
          </w:p>
        </w:tc>
      </w:tr>
      <w:tr w14:paraId="386FE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8" w:hRule="atLeast"/>
          <w:jc w:val="center"/>
        </w:trPr>
        <w:tc>
          <w:tcPr>
            <w:tcW w:w="1284" w:type="dxa"/>
            <w:vMerge w:val="continue"/>
            <w:noWrap/>
            <w:vAlign w:val="center"/>
          </w:tcPr>
          <w:p w14:paraId="25D20DF6">
            <w:pPr>
              <w:spacing w:line="360" w:lineRule="auto"/>
              <w:jc w:val="center"/>
              <w:rPr>
                <w:rFonts w:hint="eastAsia" w:ascii="仿宋_GB2312" w:hAnsi="仿宋_GB2312" w:eastAsia="仿宋_GB2312" w:cs="仿宋_GB2312"/>
                <w:sz w:val="24"/>
                <w:szCs w:val="24"/>
              </w:rPr>
            </w:pPr>
          </w:p>
        </w:tc>
        <w:tc>
          <w:tcPr>
            <w:tcW w:w="1739" w:type="dxa"/>
            <w:noWrap/>
            <w:vAlign w:val="center"/>
          </w:tcPr>
          <w:p w14:paraId="17D48F2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售后方案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.0分)</w:t>
            </w:r>
          </w:p>
        </w:tc>
        <w:tc>
          <w:tcPr>
            <w:tcW w:w="6425" w:type="dxa"/>
            <w:noWrap/>
            <w:vAlign w:val="top"/>
          </w:tcPr>
          <w:p w14:paraId="37620B56">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根据供应商所提供的</w:t>
            </w:r>
            <w:r>
              <w:rPr>
                <w:rFonts w:hint="eastAsia" w:ascii="仿宋_GB2312" w:hAnsi="仿宋_GB2312" w:eastAsia="仿宋_GB2312" w:cs="仿宋_GB2312"/>
                <w:sz w:val="24"/>
                <w:szCs w:val="24"/>
                <w:lang w:val="en-US" w:eastAsia="zh-CN"/>
              </w:rPr>
              <w:t>售后方案</w:t>
            </w:r>
            <w:r>
              <w:rPr>
                <w:rFonts w:hint="eastAsia" w:ascii="仿宋_GB2312" w:hAnsi="仿宋_GB2312" w:eastAsia="仿宋_GB2312" w:cs="仿宋_GB2312"/>
                <w:sz w:val="24"/>
                <w:szCs w:val="24"/>
              </w:rPr>
              <w:t>进行横向比较，分档评分：</w:t>
            </w:r>
          </w:p>
          <w:p w14:paraId="46C59B9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售后</w:t>
            </w:r>
            <w:r>
              <w:rPr>
                <w:rFonts w:hint="eastAsia" w:ascii="仿宋_GB2312" w:hAnsi="仿宋_GB2312" w:eastAsia="仿宋_GB2312" w:cs="仿宋_GB2312"/>
                <w:sz w:val="24"/>
                <w:szCs w:val="24"/>
              </w:rPr>
              <w:t>方案详细且合理，完全满足要求，得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07F114E">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售后</w:t>
            </w:r>
            <w:r>
              <w:rPr>
                <w:rFonts w:hint="eastAsia" w:ascii="仿宋_GB2312" w:hAnsi="仿宋_GB2312" w:eastAsia="仿宋_GB2312" w:cs="仿宋_GB2312"/>
                <w:sz w:val="24"/>
                <w:szCs w:val="24"/>
              </w:rPr>
              <w:t>方案较合理，能满足要求，得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 xml:space="preserve">分； </w:t>
            </w:r>
          </w:p>
          <w:p w14:paraId="1A54957D">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售后</w:t>
            </w:r>
            <w:r>
              <w:rPr>
                <w:rFonts w:hint="eastAsia" w:ascii="仿宋_GB2312" w:hAnsi="仿宋_GB2312" w:eastAsia="仿宋_GB2312" w:cs="仿宋_GB2312"/>
                <w:sz w:val="24"/>
                <w:szCs w:val="24"/>
              </w:rPr>
              <w:t>方案有缺陷，能基本满足要求，得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分； </w:t>
            </w:r>
          </w:p>
          <w:p w14:paraId="673A6191">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售后</w:t>
            </w:r>
            <w:r>
              <w:rPr>
                <w:rFonts w:hint="eastAsia" w:ascii="仿宋_GB2312" w:hAnsi="仿宋_GB2312" w:eastAsia="仿宋_GB2312" w:cs="仿宋_GB2312"/>
                <w:sz w:val="24"/>
                <w:szCs w:val="24"/>
              </w:rPr>
              <w:t>方案不合理，得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14:paraId="1D933498">
            <w:pPr>
              <w:numPr>
                <w:ilvl w:val="0"/>
                <w:numId w:val="0"/>
              </w:numPr>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注：无相关方案的，不得分。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284" w:type="dxa"/>
            <w:vMerge w:val="continue"/>
            <w:noWrap/>
            <w:vAlign w:val="center"/>
          </w:tcPr>
          <w:p w14:paraId="4FA33E89">
            <w:pPr>
              <w:spacing w:line="360" w:lineRule="auto"/>
              <w:jc w:val="center"/>
              <w:rPr>
                <w:rFonts w:hint="eastAsia" w:ascii="仿宋_GB2312" w:hAnsi="仿宋_GB2312" w:eastAsia="仿宋_GB2312" w:cs="仿宋_GB2312"/>
                <w:sz w:val="24"/>
                <w:szCs w:val="24"/>
              </w:rPr>
            </w:pPr>
          </w:p>
        </w:tc>
        <w:tc>
          <w:tcPr>
            <w:tcW w:w="1739" w:type="dxa"/>
            <w:noWrap/>
            <w:vAlign w:val="center"/>
          </w:tcPr>
          <w:p w14:paraId="6A428AA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同类项目业绩</w:t>
            </w:r>
          </w:p>
          <w:p w14:paraId="4F5CCC3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w:t>
            </w:r>
          </w:p>
        </w:tc>
        <w:tc>
          <w:tcPr>
            <w:tcW w:w="6425" w:type="dxa"/>
            <w:noWrap/>
          </w:tcPr>
          <w:p w14:paraId="68EF365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供应商自2023年1月1日以来（以合同生效时间为准）承接过的同类项目业绩合同，每提供一个同类项目合同得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分；本项最高得</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分。 </w:t>
            </w:r>
          </w:p>
          <w:p w14:paraId="07205AB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注：同一项目不同年份的合同按一份计算，不重复计算分数。同一业主续签不重复计分。须提供合同复印件，并加盖公章。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noWrap/>
            <w:vAlign w:val="center"/>
          </w:tcPr>
          <w:p w14:paraId="001ED6C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价格部分（10分）</w:t>
            </w:r>
          </w:p>
        </w:tc>
        <w:tc>
          <w:tcPr>
            <w:tcW w:w="1739" w:type="dxa"/>
            <w:noWrap/>
            <w:vAlign w:val="center"/>
          </w:tcPr>
          <w:p w14:paraId="5427E60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报价得分 </w:t>
            </w:r>
          </w:p>
          <w:p w14:paraId="113F52E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6425" w:type="dxa"/>
            <w:noWrap/>
          </w:tcPr>
          <w:p w14:paraId="30D08073">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投标报价得分＝（评标基准价/总报价）×价格分值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p>
          <w:p w14:paraId="638D75E0">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【注：满足要求且价格最低的总报价为评标基准价。】最低报价不是</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的唯一依据。</w:t>
            </w:r>
          </w:p>
        </w:tc>
      </w:tr>
    </w:tbl>
    <w:p w14:paraId="4AB8DCF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right="0"/>
        <w:rPr>
          <w:rFonts w:hint="eastAsia" w:ascii="仿宋_GB2312" w:hAnsi="仿宋_GB2312" w:eastAsia="仿宋_GB2312" w:cs="仿宋_GB2312"/>
          <w:i w:val="0"/>
          <w:iCs w:val="0"/>
          <w:caps w:val="0"/>
          <w:color w:val="2B2B2B"/>
          <w:spacing w:val="0"/>
          <w:sz w:val="28"/>
          <w:szCs w:val="28"/>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31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788911"/>
    <w:multiLevelType w:val="singleLevel"/>
    <w:tmpl w:val="1678891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2742095"/>
    <w:rsid w:val="04270380"/>
    <w:rsid w:val="09AE6AAA"/>
    <w:rsid w:val="108C1CE9"/>
    <w:rsid w:val="13AD3B30"/>
    <w:rsid w:val="1EC341D8"/>
    <w:rsid w:val="21AC6893"/>
    <w:rsid w:val="21F71A28"/>
    <w:rsid w:val="275072F5"/>
    <w:rsid w:val="2C872D09"/>
    <w:rsid w:val="33557238"/>
    <w:rsid w:val="3DBF0FE8"/>
    <w:rsid w:val="55755AF2"/>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3231</Words>
  <Characters>3321</Characters>
  <Lines>0</Lines>
  <Paragraphs>0</Paragraphs>
  <TotalTime>11</TotalTime>
  <ScaleCrop>false</ScaleCrop>
  <LinksUpToDate>false</LinksUpToDate>
  <CharactersWithSpaces>3342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设备科</cp:lastModifiedBy>
  <dcterms:modified xsi:type="dcterms:W3CDTF">2026-05-14T10:02:33Z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154317F124834F07A0E4F60BF81C5D7D_13</vt:lpwstr>
  </property>
  <property fmtid="{D5CDD505-2E9C-101B-9397-08002B2CF9AE}" pid="4" name="KSOTemplateDocerSaveRecord">
    <vt:lpwstr>eyJoZGlkIjoiZDY5NmQxMDhiZWRkY2E3NzYxNzUxYjE0MGU5YTU0YjQiLCJ1c2VySWQiOiIxNzc5ODE0MDY5In0=</vt:lpwstr>
  </property>
</Properties>
</file>