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项目名称：中山市口腔医院2026年车辆定点维修保养服务项目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bookmarkStart w:id="2" w:name="_GoBack"/>
      <w:bookmarkEnd w:id="2"/>
      <w:r>
        <w:rPr>
          <w:rFonts w:hint="eastAsia" w:ascii="宋体" w:hAnsi="宋体"/>
          <w:color w:val="auto"/>
          <w:kern w:val="0"/>
          <w:sz w:val="24"/>
          <w:szCs w:val="24"/>
          <w:lang w:eastAsia="zh-CN"/>
        </w:rPr>
        <w:t>中山市口腔医院2026年车辆定点维修保养服务项目的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728BA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652F98FF">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b/>
          <w:color w:val="auto"/>
          <w:kern w:val="0"/>
          <w:sz w:val="24"/>
          <w:szCs w:val="24"/>
        </w:rPr>
      </w:pPr>
      <w:r>
        <w:rPr>
          <w:rFonts w:hint="eastAsia" w:ascii="宋体" w:hAnsi="宋体"/>
          <w:b/>
          <w:color w:val="auto"/>
          <w:kern w:val="0"/>
          <w:sz w:val="24"/>
          <w:szCs w:val="24"/>
          <w:lang w:val="en-US" w:eastAsia="zh-CN"/>
        </w:rPr>
        <w:t>2.</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512F3EA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宋体" w:hAnsi="宋体"/>
          <w:b/>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70046E1A">
      <w:pPr>
        <w:ind w:firstLine="480" w:firstLineChars="200"/>
        <w:rPr>
          <w:rFonts w:hint="eastAsia" w:ascii="宋体" w:hAnsi="宋体"/>
          <w:color w:val="auto"/>
          <w:kern w:val="0"/>
          <w:sz w:val="24"/>
          <w:szCs w:val="24"/>
        </w:rPr>
      </w:pPr>
      <w:r>
        <w:rPr>
          <w:rFonts w:hint="eastAsia" w:ascii="宋体" w:hAnsi="宋体"/>
          <w:color w:val="auto"/>
          <w:kern w:val="0"/>
          <w:sz w:val="24"/>
          <w:szCs w:val="24"/>
        </w:rPr>
        <w:t>日期：</w:t>
      </w:r>
    </w:p>
    <w:p w14:paraId="554D39E6">
      <w:pPr>
        <w:ind w:firstLine="480" w:firstLineChars="200"/>
        <w:rPr>
          <w:rFonts w:hint="eastAsia"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6180"/>
      <w:bookmarkStart w:id="1" w:name="_Toc410738979"/>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4F3DE15B">
            <w:pPr>
              <w:jc w:val="center"/>
              <w:rPr>
                <w:rFonts w:hint="eastAsia" w:eastAsia="宋体"/>
                <w:lang w:eastAsia="zh-CN"/>
              </w:rPr>
            </w:pPr>
            <w:r>
              <w:rPr>
                <w:rFonts w:hint="eastAsia"/>
                <w:i w:val="0"/>
                <w:iCs w:val="0"/>
                <w:color w:val="auto"/>
                <w:highlight w:val="none"/>
                <w:u w:val="none"/>
                <w:lang w:eastAsia="zh-CN"/>
              </w:rPr>
              <w:t>报价（</w:t>
            </w:r>
            <w:r>
              <w:rPr>
                <w:rFonts w:hint="eastAsia"/>
                <w:i w:val="0"/>
                <w:iCs w:val="0"/>
                <w:color w:val="auto"/>
                <w:highlight w:val="none"/>
                <w:u w:val="none"/>
                <w:lang w:val="en-US" w:eastAsia="zh-CN"/>
              </w:rPr>
              <w:t>折扣率%</w:t>
            </w:r>
            <w:r>
              <w:rPr>
                <w:rFonts w:hint="eastAsia"/>
                <w:i w:val="0"/>
                <w:iCs w:val="0"/>
                <w:color w:val="auto"/>
                <w:highlight w:val="none"/>
                <w:u w:val="none"/>
                <w:lang w:eastAsia="zh-CN"/>
              </w:rPr>
              <w:t>）</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r>
              <w:rPr>
                <w:rFonts w:hint="eastAsia"/>
                <w:lang w:eastAsia="zh-CN"/>
              </w:rPr>
              <w:t>中山市口腔医院2026年车辆定点维修保养服务项目</w:t>
            </w:r>
          </w:p>
        </w:tc>
        <w:tc>
          <w:tcPr>
            <w:tcW w:w="2016" w:type="dxa"/>
            <w:vAlign w:val="center"/>
          </w:tcPr>
          <w:p w14:paraId="39055141">
            <w:pPr>
              <w:jc w:val="center"/>
              <w:rPr>
                <w:rFonts w:hint="eastAsia"/>
              </w:rPr>
            </w:pPr>
          </w:p>
        </w:tc>
        <w:tc>
          <w:tcPr>
            <w:tcW w:w="1968" w:type="dxa"/>
            <w:vAlign w:val="center"/>
          </w:tcPr>
          <w:p w14:paraId="15E90A6C">
            <w:pPr>
              <w:jc w:val="center"/>
              <w:rPr>
                <w:rFonts w:hint="default" w:eastAsia="宋体"/>
                <w:lang w:val="en-US" w:eastAsia="zh-CN"/>
              </w:rPr>
            </w:pPr>
            <w:r>
              <w:rPr>
                <w:rFonts w:hint="eastAsia"/>
                <w:lang w:val="en-US" w:eastAsia="zh-CN"/>
              </w:rPr>
              <w:t>1年</w:t>
            </w:r>
          </w:p>
        </w:tc>
      </w:tr>
    </w:tbl>
    <w:p w14:paraId="1ADB6D1C">
      <w:pPr>
        <w:spacing w:line="360" w:lineRule="auto"/>
        <w:rPr>
          <w:rFonts w:ascii="宋体" w:hAnsi="宋体"/>
          <w:color w:val="000000"/>
          <w:szCs w:val="21"/>
        </w:rPr>
      </w:pPr>
      <w:r>
        <w:rPr>
          <w:rFonts w:hint="eastAsia" w:ascii="宋体" w:hAnsi="宋体"/>
          <w:color w:val="000000"/>
          <w:szCs w:val="21"/>
        </w:rPr>
        <w:t>注：</w:t>
      </w:r>
    </w:p>
    <w:p w14:paraId="09C288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olor w:val="auto"/>
          <w:szCs w:val="21"/>
          <w:highlight w:val="none"/>
          <w:u w:val="none"/>
          <w:lang w:val="en-US" w:eastAsia="zh-CN"/>
        </w:rPr>
      </w:pPr>
      <w:r>
        <w:rPr>
          <w:rFonts w:hint="eastAsia" w:ascii="宋体" w:hAnsi="宋体"/>
          <w:b/>
          <w:bCs/>
          <w:color w:val="auto"/>
          <w:szCs w:val="21"/>
          <w:highlight w:val="none"/>
          <w:u w:val="none"/>
          <w:lang w:val="en-US" w:eastAsia="zh-CN"/>
        </w:rPr>
        <w:t>1.</w:t>
      </w:r>
      <w:r>
        <w:rPr>
          <w:rFonts w:hint="eastAsia" w:ascii="宋体" w:hAnsi="宋体"/>
          <w:b/>
          <w:bCs/>
          <w:color w:val="auto"/>
          <w:szCs w:val="21"/>
          <w:highlight w:val="none"/>
          <w:u w:val="none"/>
          <w:lang w:eastAsia="zh-CN"/>
        </w:rPr>
        <w:t>本项目</w:t>
      </w:r>
      <w:r>
        <w:rPr>
          <w:rFonts w:hint="eastAsia" w:ascii="宋体" w:hAnsi="宋体"/>
          <w:b/>
          <w:bCs/>
          <w:color w:val="auto"/>
          <w:szCs w:val="21"/>
          <w:highlight w:val="none"/>
          <w:u w:val="none"/>
          <w:lang w:val="en-US" w:eastAsia="zh-CN"/>
        </w:rPr>
        <w:t>合计</w:t>
      </w:r>
      <w:r>
        <w:rPr>
          <w:rFonts w:hint="eastAsia" w:ascii="宋体" w:hAnsi="宋体"/>
          <w:b/>
          <w:bCs/>
          <w:color w:val="auto"/>
          <w:szCs w:val="21"/>
          <w:highlight w:val="none"/>
          <w:u w:val="none"/>
          <w:lang w:eastAsia="zh-CN"/>
        </w:rPr>
        <w:t>的最高限价为</w:t>
      </w:r>
      <w:r>
        <w:rPr>
          <w:rFonts w:hint="eastAsia" w:ascii="宋体" w:hAnsi="宋体"/>
          <w:b/>
          <w:bCs/>
          <w:color w:val="auto"/>
          <w:szCs w:val="21"/>
          <w:highlight w:val="none"/>
          <w:u w:val="none"/>
          <w:lang w:val="en-US" w:eastAsia="zh-CN"/>
        </w:rPr>
        <w:t>20000元，</w:t>
      </w:r>
      <w:r>
        <w:rPr>
          <w:rFonts w:hint="eastAsia" w:ascii="宋体" w:hAnsi="宋体"/>
          <w:b/>
          <w:bCs/>
          <w:i w:val="0"/>
          <w:iCs w:val="0"/>
          <w:color w:val="auto"/>
          <w:szCs w:val="21"/>
          <w:highlight w:val="none"/>
          <w:u w:val="none"/>
          <w:lang w:val="en-US" w:eastAsia="zh-CN"/>
        </w:rPr>
        <w:t>本项目采用折扣率报价，折扣率单位为“%”。该折扣率即为本项目的价格分计算基础，报价（折扣率）</w:t>
      </w:r>
      <w:r>
        <w:rPr>
          <w:rFonts w:hint="eastAsia" w:ascii="宋体" w:hAnsi="宋体"/>
          <w:b/>
          <w:bCs/>
          <w:color w:val="auto"/>
          <w:szCs w:val="21"/>
          <w:highlight w:val="none"/>
          <w:u w:val="none"/>
          <w:lang w:val="en-US" w:eastAsia="zh-CN"/>
        </w:rPr>
        <w:t>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0FE67072"/>
    <w:rsid w:val="108C1CE9"/>
    <w:rsid w:val="11FB44C5"/>
    <w:rsid w:val="1BCB174C"/>
    <w:rsid w:val="1EC341D8"/>
    <w:rsid w:val="33557238"/>
    <w:rsid w:val="3CEC3FC0"/>
    <w:rsid w:val="3DBF0FE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1040</Words>
  <Characters>1125</Characters>
  <Lines>0</Lines>
  <Paragraphs>0</Paragraphs>
  <TotalTime>0</TotalTime>
  <ScaleCrop>false</ScaleCrop>
  <LinksUpToDate>false</LinksUpToDate>
  <CharactersWithSpaces>1168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2026-03-20T08:46:31Z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