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val="0"/>
          <w:bCs/>
          <w:color w:val="auto"/>
          <w:sz w:val="28"/>
          <w:szCs w:val="28"/>
          <w:lang w:val="en-US" w:eastAsia="zh-CN"/>
        </w:rPr>
        <w:t>项目需求书</w:t>
      </w:r>
    </w:p>
    <w:p w14:paraId="275D203D">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723" w:type="dxa"/>
          </w:tcPr>
          <w:p w14:paraId="006DFF07">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中山市口腔医院数据库调优服务项目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5723" w:type="dxa"/>
          </w:tcPr>
          <w:p w14:paraId="4D49B931">
            <w:pPr>
              <w:spacing w:line="360" w:lineRule="auto"/>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6万元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报价最高限价</w:t>
            </w:r>
          </w:p>
        </w:tc>
        <w:tc>
          <w:tcPr>
            <w:tcW w:w="5723" w:type="dxa"/>
          </w:tcPr>
          <w:p w14:paraId="7DC1F74F">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6万元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供应商报价不得超过“报价最高限价”，否则视为无效报价。</w:t>
            </w:r>
          </w:p>
        </w:tc>
      </w:tr>
    </w:tbl>
    <w:p w14:paraId="2A81CF6C">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采购需求</w:t>
      </w:r>
    </w:p>
    <w:p w14:paraId="6157149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）采购标的汇总表</w:t>
      </w:r>
    </w:p>
    <w:tbl>
      <w:tblPr>
        <w:tblStyle w:val="12"/>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标的</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8"/>
                <w:szCs w:val="28"/>
                <w:lang w:val="en-US" w:eastAsia="zh-CN"/>
              </w:rPr>
            </w:pPr>
            <w:permStart w:id="0" w:edGrp="everyone" w:colFirst="0" w:colLast="0"/>
            <w:permStart w:id="1" w:edGrp="everyone" w:colFirst="1" w:colLast="1"/>
            <w:permStart w:id="2" w:edGrp="everyone" w:colFirst="2" w:colLast="2"/>
            <w:permStart w:id="3" w:edGrp="everyone" w:colFirst="3" w:colLast="3"/>
            <w:r>
              <w:rPr>
                <w:rFonts w:hint="eastAsia" w:ascii="仿宋_GB2312" w:hAnsi="仿宋_GB2312" w:eastAsia="仿宋_GB2312" w:cs="仿宋_GB2312"/>
                <w:color w:val="auto"/>
                <w:kern w:val="0"/>
                <w:sz w:val="28"/>
                <w:szCs w:val="28"/>
                <w:lang w:val="en-US" w:eastAsia="zh-CN"/>
              </w:rPr>
              <w:t>1</w:t>
            </w:r>
          </w:p>
        </w:tc>
        <w:tc>
          <w:tcPr>
            <w:tcW w:w="491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sz w:val="28"/>
                <w:szCs w:val="28"/>
                <w:lang w:val="en-US" w:eastAsia="zh-CN"/>
              </w:rPr>
              <w:t>数据库调优服务</w:t>
            </w:r>
          </w:p>
        </w:tc>
        <w:tc>
          <w:tcPr>
            <w:tcW w:w="1684"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rPr>
            </w:pPr>
            <w:r>
              <w:rPr>
                <w:rFonts w:hint="eastAsia" w:ascii="仿宋_GB2312" w:hAnsi="仿宋_GB2312" w:eastAsia="仿宋_GB2312" w:cs="仿宋_GB2312"/>
                <w:i/>
                <w:iCs/>
                <w:color w:val="FF0000"/>
                <w:sz w:val="28"/>
                <w:szCs w:val="28"/>
                <w:highlight w:val="yellow"/>
                <w:lang w:val="en-US" w:eastAsia="zh-CN"/>
              </w:rPr>
              <w:t>项</w:t>
            </w:r>
          </w:p>
        </w:tc>
        <w:tc>
          <w:tcPr>
            <w:tcW w:w="1408"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i/>
                <w:iCs/>
                <w:color w:val="FF0000"/>
                <w:sz w:val="28"/>
                <w:szCs w:val="28"/>
                <w:highlight w:val="yellow"/>
                <w:lang w:val="en-US" w:eastAsia="zh-CN"/>
              </w:rPr>
              <w:t>1</w:t>
            </w:r>
          </w:p>
        </w:tc>
      </w:tr>
      <w:permEnd w:id="0"/>
      <w:permEnd w:id="1"/>
      <w:permEnd w:id="2"/>
      <w:permEnd w:id="3"/>
      <w:tr w14:paraId="28D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58" w:type="dxa"/>
            <w:gridSpan w:val="4"/>
            <w:shd w:val="clear" w:color="auto" w:fill="FFFFFF"/>
            <w:tcMar>
              <w:top w:w="0" w:type="dxa"/>
              <w:right w:w="0" w:type="dxa"/>
            </w:tcMar>
            <w:vAlign w:val="center"/>
          </w:tcPr>
          <w:p w14:paraId="762D570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报价要求：</w:t>
            </w:r>
          </w:p>
          <w:p w14:paraId="54C2BF4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1、本项目报价最高上限价60000元，报价高于本项目最高上限价的为无效报价。</w:t>
            </w:r>
          </w:p>
          <w:p w14:paraId="7845DE22">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供应商报价应包括完成半年的数据库调优服务、培训、售后服务等在服务管理过程中有可能发生的全部费用。应向中华人民共和国政府缴纳的增值税和其它税等全部税费、以及履行合同所需的费用、所有风险、责任等其他一切隐含及不可预见的费用。</w:t>
            </w:r>
          </w:p>
          <w:p w14:paraId="611E3440">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报价以人民币为货币单位，单价、小计和总价应清楚表达。</w:t>
            </w:r>
          </w:p>
          <w:p w14:paraId="57B5D8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4、本项目由成交供应商负责本项目需求对成交供应商要求的一切事宜及责任，如果供应商在签署合同后，在项目实施过程中出现报价内容的任何遗漏，均由成交供应商提供，采购人将不再支付任何费用</w:t>
            </w:r>
            <w:permStart w:id="4" w:edGrp="everyone"/>
            <w:r>
              <w:rPr>
                <w:rFonts w:hint="eastAsia" w:ascii="仿宋_GB2312" w:hAnsi="仿宋_GB2312" w:eastAsia="仿宋_GB2312" w:cs="仿宋_GB2312"/>
                <w:color w:val="auto"/>
                <w:kern w:val="0"/>
                <w:sz w:val="24"/>
                <w:szCs w:val="24"/>
                <w:lang w:val="en-US" w:eastAsia="zh-CN"/>
              </w:rPr>
              <w:t>。</w:t>
            </w:r>
          </w:p>
        </w:tc>
      </w:tr>
      <w:permEnd w:id="4"/>
    </w:tbl>
    <w:p w14:paraId="27D1949A">
      <w:pPr>
        <w:spacing w:line="360" w:lineRule="auto"/>
        <w:rPr>
          <w:rFonts w:hint="eastAsia" w:ascii="仿宋_GB2312" w:hAnsi="仿宋_GB2312" w:eastAsia="仿宋_GB2312" w:cs="仿宋_GB2312"/>
          <w:sz w:val="28"/>
          <w:szCs w:val="28"/>
        </w:rPr>
        <w:sectPr>
          <w:headerReference r:id="rId5" w:type="default"/>
          <w:footerReference r:id="rId6" w:type="default"/>
          <w:pgSz w:w="11900" w:h="16840"/>
          <w:pgMar w:top="1440" w:right="1800" w:bottom="1440" w:left="1800" w:header="851" w:footer="992" w:gutter="0"/>
          <w:pgNumType w:fmt="decimal" w:start="1"/>
          <w:cols w:space="425" w:num="1"/>
          <w:docGrid w:type="lines" w:linePitch="312" w:charSpace="0"/>
        </w:sectPr>
      </w:pPr>
    </w:p>
    <w:p w14:paraId="6D966B2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）技术要求与商务要求</w:t>
      </w:r>
    </w:p>
    <w:tbl>
      <w:tblPr>
        <w:tblStyle w:val="12"/>
        <w:tblW w:w="5200"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14:paraId="248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C6863DF">
            <w:pPr>
              <w:adjustRightInd w:val="0"/>
              <w:snapToGrid w:val="0"/>
              <w:ind w:right="120" w:rightChars="5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一、项目概况及服务内容</w:t>
            </w:r>
          </w:p>
          <w:p w14:paraId="790C63AA">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1.服务要求</w:t>
            </w:r>
          </w:p>
          <w:p w14:paraId="709292B2">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（1）7×24小时技术支持与故障申告服务</w:t>
            </w:r>
          </w:p>
          <w:p w14:paraId="6C2F3AC5">
            <w:pPr>
              <w:pStyle w:val="8"/>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为保障数据库运行连续性，需提供7×24小时不间断远程技术支持及故障申告服务，支持电话、邮件等多渠道响应，确保数据库故障全时段可申告、可快速处置，实现故障响应无死角。</w:t>
            </w:r>
            <w:r>
              <w:rPr>
                <w:rFonts w:hint="eastAsia" w:ascii="仿宋_GB2312" w:hAnsi="仿宋_GB2312" w:eastAsia="仿宋_GB2312" w:cs="仿宋_GB2312"/>
                <w:b/>
                <w:bCs/>
                <w:sz w:val="24"/>
                <w:szCs w:val="24"/>
                <w:lang w:val="en-US" w:eastAsia="zh-CN"/>
              </w:rPr>
              <w:t>（供应商需提供加盖公章的承诺函）</w:t>
            </w:r>
          </w:p>
          <w:p w14:paraId="0D36F670">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（2）定期现场巡检服务</w:t>
            </w:r>
          </w:p>
          <w:p w14:paraId="7D62F05D">
            <w:pPr>
              <w:pStyle w:val="8"/>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每月至少开展1次数据库现场巡检工作，围绕数据库运行状态、参数配置、索引使用、锁机制、存储占用等核心维度，进行全面排查与隐患梳理，巡检完成后形成正式的数据库健康巡检报告，并及时提交采购人留存。</w:t>
            </w:r>
            <w:r>
              <w:rPr>
                <w:rFonts w:hint="eastAsia" w:ascii="仿宋_GB2312" w:hAnsi="仿宋_GB2312" w:eastAsia="仿宋_GB2312" w:cs="仿宋_GB2312"/>
                <w:b/>
                <w:bCs/>
                <w:sz w:val="24"/>
                <w:szCs w:val="24"/>
                <w:lang w:val="en-US" w:eastAsia="zh-CN"/>
              </w:rPr>
              <w:t>（供应商需提供加盖公章的承诺函）</w:t>
            </w:r>
          </w:p>
          <w:p w14:paraId="028F1556">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（3）全维度专项性能调优服务</w:t>
            </w:r>
          </w:p>
          <w:p w14:paraId="14B4C3FB">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围绕医院数据库性能提升目标，开展全维度专项调优工作，调优效果需通过医院实际业务场景验证，且在就诊高峰期能够保持稳定运行，具体核心目标如下：</w:t>
            </w:r>
          </w:p>
          <w:p w14:paraId="5CB39659">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①TPS性能显著提升：对医院核心业务数据库进行深度调优，确保事务处理性能（TPS）较调优前实现显著提升，保障就诊高峰期系统业务响应稳定、高效，无卡顿、延迟等影响诊疗业务正常开展的情况。</w:t>
            </w:r>
          </w:p>
          <w:p w14:paraId="052A41B2">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应用层连接池优化：配合医院开发工程师，优化应用层数据库连接池配置，搭建连接资源全生命周期管理机制，杜绝连接资源浪费，提升连接复用率，有效增强系统并发处理能力，满足医院高并发诊疗业务场景的使用需求。</w:t>
            </w:r>
          </w:p>
          <w:p w14:paraId="57770B74">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数据库参数深度优化：结合医院服务器硬件配置（CPU、内存、磁盘IO等）及诊疗业务特性，全面优化数据库核心参数配置，充分释放硬件性能潜力，提升数据库整体吞吐量和运行效率，确保核心性能指标较调优前有明显改善。</w:t>
            </w:r>
          </w:p>
          <w:p w14:paraId="69E7688E">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表结构与索引体系优化：全面梳理数据库表结构设计，删除冗余字段、规范数据类型；完善索引体系，通过删除冗余索引、新增覆盖索引、优化联合索引等方式，降低性能损耗，确保核心业务查询效率及事务处理速度较调优前提升≥50%。</w:t>
            </w:r>
          </w:p>
          <w:p w14:paraId="49B8A5A8">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（4）故障快速响应服务</w:t>
            </w:r>
          </w:p>
          <w:p w14:paraId="198F9C11">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接到数据库故障申告信息后，须在15分钟内完成首次响应，同步告知故障排查思路及初步处置方向，确保故障处置工作快速启动。</w:t>
            </w:r>
            <w:r>
              <w:rPr>
                <w:rFonts w:hint="eastAsia" w:ascii="仿宋_GB2312" w:hAnsi="仿宋_GB2312" w:eastAsia="仿宋_GB2312" w:cs="仿宋_GB2312"/>
                <w:b/>
                <w:bCs/>
                <w:sz w:val="24"/>
                <w:szCs w:val="24"/>
                <w:lang w:val="en-US" w:eastAsia="zh-CN"/>
              </w:rPr>
              <w:t>（供应商需提供加盖公章的承诺函）</w:t>
            </w:r>
          </w:p>
          <w:p w14:paraId="244A9EFC">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（5）紧急现场支持服务</w:t>
            </w:r>
          </w:p>
          <w:p w14:paraId="1093A7AE">
            <w:pPr>
              <w:pStyle w:val="8"/>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若远程处置手段无法解决调优后引发的数据库故障，工程师须在2小时内抵达采购人现场开展故障处置；针对数据库全量宕机、数据丢失、核心业务系统瘫痪等灾难性故障，工程师须在1小时内到场开展应急救援，最大限度降低故障对诊疗业务的影响。</w:t>
            </w:r>
            <w:r>
              <w:rPr>
                <w:rFonts w:hint="eastAsia" w:ascii="仿宋_GB2312" w:hAnsi="仿宋_GB2312" w:eastAsia="仿宋_GB2312" w:cs="仿宋_GB2312"/>
                <w:b/>
                <w:bCs/>
                <w:sz w:val="24"/>
                <w:szCs w:val="24"/>
                <w:lang w:val="en-US" w:eastAsia="zh-CN"/>
              </w:rPr>
              <w:t>（供应商需提供加盖公章的承诺函）</w:t>
            </w:r>
          </w:p>
          <w:p w14:paraId="5A78AAE9">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（6）故障高效解决服务</w:t>
            </w:r>
          </w:p>
          <w:p w14:paraId="4FA7018F">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核心数据库故障恢复时间目标（RTO）≤2小时，恢复点目标（RPO）≤15分钟；所有数据库故障最长解决时间需满足RTO≤4小时、RPO≤1小时。故障处置完成后，须提交详细的故障分析报告、处置过程记录及整改优化方案，确保故障可追溯、可预防。</w:t>
            </w:r>
            <w:r>
              <w:rPr>
                <w:rFonts w:hint="eastAsia" w:ascii="仿宋_GB2312" w:hAnsi="仿宋_GB2312" w:eastAsia="仿宋_GB2312" w:cs="仿宋_GB2312"/>
                <w:b/>
                <w:bCs/>
                <w:sz w:val="24"/>
                <w:szCs w:val="24"/>
                <w:lang w:val="en-US" w:eastAsia="zh-CN"/>
              </w:rPr>
              <w:t>（供应商需提供加盖公章的承诺函）</w:t>
            </w:r>
          </w:p>
          <w:p w14:paraId="72E6A167">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2.技术要求</w:t>
            </w:r>
          </w:p>
          <w:p w14:paraId="59D0569D">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（1）TPS性能优化</w:t>
            </w:r>
          </w:p>
          <w:p w14:paraId="73AFA2F3">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用数据库负载分析、事务瓶颈定位、锁机制优化、并行处理配置等技术手段，针对医院挂号、收费、电子病历、检验检查等核心业务的事务处理流程，开展专项优化工作，制定个性化TPS性能提升方案，确保就诊高峰期TPS指标稳定达标，同时须提供完整的调优方案及效果验证报告。</w:t>
            </w:r>
          </w:p>
          <w:p w14:paraId="1FA69C1B">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（2）连接池优化</w:t>
            </w:r>
          </w:p>
          <w:p w14:paraId="70ADECFF">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深入分析医院应用层与数据库的连接策略，精准优化连接池最大连接数、最小空闲数、连接超时、空闲超时等关键配置参数；建立连接池异常监控与自动释放机制，编制《连接池优化配置手册》并正式交付医院技术团队，确保手册内容通俗易懂、可落地、可复用，便于医院后续自主维护。</w:t>
            </w:r>
          </w:p>
          <w:p w14:paraId="2630990F">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（3）数据库参数优化</w:t>
            </w:r>
          </w:p>
          <w:p w14:paraId="3E60D9DA">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医院Oracle、MySQL等不同类型的业务数据库，结合服务器硬件资源配置及诊疗业务特性，对内存分配、IO调度、日志配置、事务隔离级别、查询缓存等核心参数进行精细化调优，形成《数据库最优参数配置清单》，同步提供参数调整的合理性分析及性能影响评估报告，确保参数调整科学、可控，不影响业务正常运行。</w:t>
            </w:r>
          </w:p>
          <w:p w14:paraId="6EF609E8">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（4）表结构与索引优化</w:t>
            </w:r>
          </w:p>
          <w:p w14:paraId="154EE77E">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展数据库表结构全面审计工作，优化数据存储方式，规范主外键关联关系，提升数据存储效率；通过慢查询分析、执行计划解析等方式，搭建科学合理的索引体系，形成《表结构与索引优化报告》，报告中须包含优化前后核心业务查询效率、事务处理速度的对比数据，确保调优效果可量化、可验证。</w:t>
            </w:r>
          </w:p>
          <w:p w14:paraId="744DEFB0">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（5）调优效果多维度验证</w:t>
            </w:r>
          </w:p>
          <w:p w14:paraId="665CB26C">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用压力测试、模拟就诊高峰期业务场景测试、实际业务运行监控等多种方式，对数据库调优效果开展全维度验证；其中，压力测试需达到医院日常业务峰值的1倍以上，确保调优效果完全匹配医院实际诊疗业务需求，保障业务稳定运行。</w:t>
            </w:r>
          </w:p>
          <w:p w14:paraId="5230F369">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3.人员资质要求</w:t>
            </w:r>
          </w:p>
          <w:p w14:paraId="654B37C0">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（1）项目负责人：拟投入本项目的项目负责人，须具备《系统规划与管理师》职业资格证书，且该人员需全程负责本项目的统筹、协调及推进工作。</w:t>
            </w:r>
          </w:p>
          <w:p w14:paraId="2C22F262">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（2）技术实施人员：项目实施团队至少配备1名核心技术人员，该核心技术人员须具备《数据库系统工程师》或《系统架构设计师》职业资格证书，且具中山市政企事业单位系统升级和改造相关项目实施经验。</w:t>
            </w:r>
          </w:p>
          <w:p w14:paraId="335BA08F">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4.公司资质要求</w:t>
            </w:r>
          </w:p>
          <w:p w14:paraId="52F9BAFA">
            <w:pPr>
              <w:pStyle w:val="8"/>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（1）具备有效的计算机信息系统安全服务等级资质证书。</w:t>
            </w:r>
          </w:p>
          <w:p w14:paraId="686F4407">
            <w:pPr>
              <w:pStyle w:val="8"/>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（2）同时具备有效的ISO9001质量管理体系认证证书。</w:t>
            </w:r>
          </w:p>
        </w:tc>
      </w:tr>
      <w:tr w14:paraId="75D6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0801FF58">
            <w:pPr>
              <w:numPr>
                <w:ilvl w:val="0"/>
                <w:numId w:val="3"/>
              </w:numPr>
              <w:adjustRightInd w:val="0"/>
              <w:snapToGrid w:val="0"/>
              <w:ind w:right="120" w:rightChars="5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服务时间及地点</w:t>
            </w:r>
          </w:p>
          <w:p w14:paraId="36D0F76A">
            <w:pPr>
              <w:pStyle w:val="8"/>
              <w:ind w:left="0" w:leftChars="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服务期：合同期限为自合同签订之日起半年。</w:t>
            </w:r>
          </w:p>
          <w:p w14:paraId="61E4A682">
            <w:pPr>
              <w:pStyle w:val="8"/>
              <w:ind w:left="0" w:leftChars="0" w:firstLine="0" w:firstLineChars="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sz w:val="24"/>
                <w:szCs w:val="24"/>
                <w:lang w:val="en-US" w:eastAsia="zh-CN"/>
              </w:rPr>
              <w:t>服务地点：采购人指定地点。</w:t>
            </w:r>
          </w:p>
        </w:tc>
      </w:tr>
      <w:tr w14:paraId="792F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5CB739D">
            <w:pPr>
              <w:adjustRightInd w:val="0"/>
              <w:snapToGrid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、付款方式及条件：</w:t>
            </w:r>
          </w:p>
          <w:p w14:paraId="4F4FEE3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1.付款方式：银行转账结算。</w:t>
            </w:r>
          </w:p>
          <w:p w14:paraId="1312F0BA">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2.付款时间及条件：</w:t>
            </w:r>
          </w:p>
          <w:p w14:paraId="5A4761DB">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自合同签订之日起，采购人收到成交供应商提交的申请款项支付资料之后30个工作日内，采购人向成交供应商支付合同总金额的50%；剩余50%的合同金额在验收合格后（以双方签字确认的验收报告时间为准）30个工作日内支付，发票收款账户需要与合同上的一致。</w:t>
            </w:r>
          </w:p>
          <w:p w14:paraId="4115B39E">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本合同的款项以人民币通过银行转账方式结算，成交供应商凭以下资料申请款项支付：</w:t>
            </w:r>
          </w:p>
          <w:p w14:paraId="36254C3C">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①合同复印件；</w:t>
            </w:r>
          </w:p>
          <w:p w14:paraId="0867B5E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②成交供应商开具对应款项的正规全额发票和对应款项收据。</w:t>
            </w:r>
          </w:p>
          <w:p w14:paraId="06039ED4">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tc>
      </w:tr>
      <w:tr w14:paraId="496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4C99A55B">
            <w:pPr>
              <w:numPr>
                <w:ilvl w:val="0"/>
                <w:numId w:val="0"/>
              </w:numPr>
              <w:adjustRightInd w:val="0"/>
              <w:snapToGrid w:val="0"/>
              <w:rPr>
                <w:rFonts w:hint="eastAsia" w:ascii="仿宋_GB2312" w:hAnsi="仿宋_GB2312" w:eastAsia="仿宋_GB2312" w:cs="仿宋_GB2312"/>
                <w:b/>
                <w:bCs/>
                <w:sz w:val="28"/>
                <w:szCs w:val="28"/>
              </w:rPr>
            </w:pPr>
            <w:r>
              <w:rPr>
                <w:rFonts w:hint="eastAsia" w:ascii="仿宋_GB2312" w:hAnsi="仿宋_GB2312" w:eastAsia="仿宋_GB2312" w:cs="仿宋_GB2312"/>
                <w:b/>
                <w:bCs/>
                <w:kern w:val="2"/>
                <w:sz w:val="28"/>
                <w:szCs w:val="28"/>
                <w:lang w:val="en-US" w:eastAsia="zh-CN" w:bidi="ar-SA"/>
              </w:rPr>
              <w:t>四、</w:t>
            </w:r>
            <w:r>
              <w:rPr>
                <w:rFonts w:hint="eastAsia" w:ascii="仿宋_GB2312" w:hAnsi="仿宋_GB2312" w:eastAsia="仿宋_GB2312" w:cs="仿宋_GB2312"/>
                <w:b/>
                <w:bCs/>
                <w:sz w:val="28"/>
                <w:szCs w:val="28"/>
              </w:rPr>
              <w:t>验收</w:t>
            </w:r>
          </w:p>
          <w:p w14:paraId="2F2CB1D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技术成果验收：对照技术要求各项条款，逐项验收技术成果。调优方案及效果验证报告等资料的完整性、规范性和可落地性；通过压力测试、实际业务场景验证等方式，确认调优效果达标，其中核心业务查询效率及事务处理速度较调优前提升≥50%，压力测试达到日常业务峰值1倍以上，未达到要求的，需限期整改后重新验收。</w:t>
            </w:r>
          </w:p>
          <w:p w14:paraId="47864E9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服务履约验收：结合服务要求，验收供应商履约情况。核查7×24小时技术支持响应记录、定期巡检报告；随机抽查故障响应时长、现场处置时效、故障解决效率，确保符合15分钟首次响应、灾难性故障1小时到场、核心故障RTO≤2小时等要求；供应商需提供全部需加盖公章的承诺函，未按要求提供或履约不符合承诺的，验收不合格。</w:t>
            </w:r>
          </w:p>
          <w:p w14:paraId="49ADB0F5">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整体验收：综合资质、技术成果、服务履约情况进行整体验收，所有验收项均达标后方可通过验收；存在未达标项的，供应商需在采购人指定期限内完成整改，整改后仍未达标或拒不整改的，采购人有权拒绝验收，由此产生的一切责任由供应商承担。</w:t>
            </w:r>
          </w:p>
          <w:p w14:paraId="5E15391A">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验收资料：验收时，供应商需提交完整的验收资料，包括但不限于资质证书、技术成果资料、服务履约记录、承诺函、验收申请报告等，资料不完整的，不予启动验收流程。</w:t>
            </w:r>
          </w:p>
        </w:tc>
      </w:tr>
      <w:tr w14:paraId="0535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4"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757C31A">
            <w:pPr>
              <w:adjustRightInd w:val="0"/>
              <w:snapToGrid w:val="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、知识产权及保密：</w:t>
            </w:r>
          </w:p>
          <w:p w14:paraId="597A215E">
            <w:pPr>
              <w:adjustRightInd w:val="0"/>
              <w:snapToGrid w:val="0"/>
              <w:ind w:right="120" w:rightChars="5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64C19C4B">
            <w:pPr>
              <w:adjustRightInd w:val="0"/>
              <w:snapToGrid w:val="0"/>
              <w:ind w:right="120" w:rightChars="5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2.一方对另一方提供的技术资料、样件、图纸及其他与质量、技术、经营相关信息（包括但不限于价格、数量）有保密义务。双方应确保其人员及相关协作方承担保密义务。</w:t>
            </w:r>
          </w:p>
          <w:p w14:paraId="2111C0AD">
            <w:pPr>
              <w:adjustRightInd w:val="0"/>
              <w:snapToGrid w:val="0"/>
              <w:ind w:right="120" w:rightChars="50"/>
              <w:rPr>
                <w:rFonts w:hint="eastAsia" w:ascii="仿宋_GB2312" w:hAnsi="仿宋_GB2312" w:eastAsia="仿宋_GB2312" w:cs="仿宋_GB2312"/>
                <w:sz w:val="24"/>
                <w:szCs w:val="24"/>
                <w:highlight w:val="none"/>
                <w:lang w:bidi="zh-CN"/>
              </w:rPr>
            </w:pPr>
            <w:r>
              <w:rPr>
                <w:rFonts w:hint="eastAsia" w:ascii="仿宋_GB2312" w:hAnsi="仿宋_GB2312" w:eastAsia="仿宋_GB2312" w:cs="仿宋_GB2312"/>
                <w:sz w:val="24"/>
                <w:szCs w:val="24"/>
                <w:lang w:bidi="zh-CN"/>
              </w:rPr>
              <w:t>3.成交供应商保证，成交供应商依据本合同提供的货物或服务以及与之相关的软件</w:t>
            </w:r>
            <w:r>
              <w:rPr>
                <w:rFonts w:hint="eastAsia" w:ascii="仿宋_GB2312" w:hAnsi="仿宋_GB2312" w:eastAsia="仿宋_GB2312" w:cs="仿宋_GB2312"/>
                <w:sz w:val="24"/>
                <w:szCs w:val="24"/>
                <w:highlight w:val="none"/>
                <w:lang w:bidi="zh-CN"/>
              </w:rPr>
              <w:t>和技术资料，成交供应商均已得到有关知识产权的权利人的合法授权，如发生涉及到专利权、著作权、商标权等争议，成交供应商负责交涉、处理，并承担由此引起的对第三人和采购人的全部法律及经济责任。</w:t>
            </w:r>
          </w:p>
          <w:p w14:paraId="40BDFA91">
            <w:pPr>
              <w:adjustRightInd w:val="0"/>
              <w:snapToGrid w:val="0"/>
              <w:ind w:right="120" w:rightChars="50"/>
              <w:rPr>
                <w:rFonts w:hint="eastAsia" w:ascii="仿宋_GB2312" w:hAnsi="仿宋_GB2312" w:eastAsia="仿宋_GB2312" w:cs="仿宋_GB2312"/>
                <w:sz w:val="24"/>
                <w:szCs w:val="24"/>
                <w:highlight w:val="none"/>
                <w:lang w:bidi="zh-CN"/>
              </w:rPr>
            </w:pPr>
            <w:r>
              <w:rPr>
                <w:rFonts w:hint="eastAsia" w:ascii="仿宋_GB2312" w:hAnsi="仿宋_GB2312" w:eastAsia="仿宋_GB2312" w:cs="仿宋_GB2312"/>
                <w:sz w:val="24"/>
                <w:szCs w:val="24"/>
                <w:highlight w:val="none"/>
                <w:lang w:bidi="zh-CN"/>
              </w:rPr>
              <w:t>4.本合同中涉及知识产权任何条款，在合同期限内及合同终止后持续有效。</w:t>
            </w:r>
          </w:p>
          <w:p w14:paraId="11C0A960">
            <w:pPr>
              <w:adjustRightInd w:val="0"/>
              <w:snapToGrid w:val="0"/>
              <w:ind w:right="120" w:rightChars="50"/>
              <w:rPr>
                <w:rFonts w:hint="eastAsia" w:ascii="仿宋_GB2312" w:hAnsi="仿宋_GB2312" w:eastAsia="仿宋_GB2312" w:cs="仿宋_GB2312"/>
                <w:sz w:val="28"/>
                <w:szCs w:val="28"/>
              </w:rPr>
            </w:pPr>
            <w:r>
              <w:rPr>
                <w:rFonts w:hint="eastAsia" w:ascii="仿宋_GB2312" w:hAnsi="仿宋_GB2312" w:eastAsia="仿宋_GB2312" w:cs="仿宋_GB2312"/>
                <w:sz w:val="24"/>
                <w:szCs w:val="24"/>
                <w:highlight w:val="none"/>
                <w:lang w:bidi="zh-CN"/>
              </w:rPr>
              <w:t>5.成交供应商承认采购人对根据本合同定制开发的软件具有软件著作权，成交供应商有义务协助采购人申请并获得该软著权。</w:t>
            </w:r>
          </w:p>
        </w:tc>
      </w:tr>
      <w:tr w14:paraId="7FF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62F72C96">
            <w:pPr>
              <w:adjustRightInd w:val="0"/>
              <w:snapToGrid w:val="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六、评审方法：</w:t>
            </w:r>
          </w:p>
          <w:p w14:paraId="41E9D441">
            <w:pPr>
              <w:adjustRightInd w:val="0"/>
              <w:snapToGrid w:val="0"/>
              <w:ind w:right="120" w:rightChars="50"/>
              <w:rPr>
                <w:rFonts w:hint="eastAsia" w:ascii="仿宋_GB2312" w:hAnsi="仿宋_GB2312" w:eastAsia="仿宋_GB2312" w:cs="仿宋_GB2312"/>
                <w:sz w:val="24"/>
                <w:szCs w:val="24"/>
                <w:highlight w:val="none"/>
                <w:lang w:val="en-US" w:eastAsia="zh-CN" w:bidi="zh-CN"/>
              </w:rPr>
            </w:pPr>
            <w:r>
              <w:rPr>
                <w:rFonts w:hint="eastAsia" w:ascii="仿宋_GB2312" w:hAnsi="仿宋_GB2312" w:eastAsia="仿宋_GB2312" w:cs="仿宋_GB2312"/>
                <w:sz w:val="24"/>
                <w:szCs w:val="24"/>
                <w:highlight w:val="none"/>
                <w:lang w:val="en-US" w:eastAsia="zh-CN" w:bidi="zh-CN"/>
              </w:rPr>
              <w:t>1.综合评分法：综合得分最高的为本项目拟成交供应商（评分细则详见附件）。</w:t>
            </w:r>
          </w:p>
          <w:p w14:paraId="50EA098B">
            <w:pPr>
              <w:adjustRightInd w:val="0"/>
              <w:snapToGrid w:val="0"/>
              <w:ind w:right="120" w:rightChars="50"/>
              <w:rPr>
                <w:rFonts w:hint="eastAsia" w:ascii="仿宋_GB2312" w:hAnsi="仿宋_GB2312" w:eastAsia="仿宋_GB2312" w:cs="仿宋_GB2312"/>
                <w:sz w:val="24"/>
                <w:szCs w:val="24"/>
                <w:highlight w:val="yellow"/>
                <w:lang w:bidi="zh-CN"/>
              </w:rPr>
            </w:pPr>
            <w:r>
              <w:rPr>
                <w:rFonts w:hint="eastAsia" w:ascii="仿宋_GB2312" w:hAnsi="仿宋_GB2312" w:eastAsia="仿宋_GB2312" w:cs="仿宋_GB2312"/>
                <w:sz w:val="24"/>
                <w:szCs w:val="24"/>
                <w:highlight w:val="none"/>
                <w:lang w:val="en-US" w:eastAsia="zh-CN" w:bidi="zh-CN"/>
              </w:rPr>
              <w:t>2.</w:t>
            </w:r>
            <w:r>
              <w:rPr>
                <w:rFonts w:hint="eastAsia" w:ascii="仿宋_GB2312" w:hAnsi="仿宋_GB2312" w:eastAsia="仿宋_GB2312" w:cs="仿宋_GB2312"/>
                <w:sz w:val="24"/>
                <w:szCs w:val="24"/>
                <w:highlight w:val="none"/>
                <w:lang w:eastAsia="zh-CN" w:bidi="zh-CN"/>
              </w:rPr>
              <w:t>采购人按照评审报告确定</w:t>
            </w:r>
            <w:r>
              <w:rPr>
                <w:rFonts w:hint="eastAsia" w:ascii="仿宋_GB2312" w:hAnsi="仿宋_GB2312" w:eastAsia="仿宋_GB2312" w:cs="仿宋_GB2312"/>
                <w:sz w:val="24"/>
                <w:szCs w:val="24"/>
                <w:highlight w:val="none"/>
                <w:lang w:val="en-US" w:eastAsia="zh-CN" w:bidi="zh-CN"/>
              </w:rPr>
              <w:t>排名第一的为</w:t>
            </w:r>
            <w:r>
              <w:rPr>
                <w:rFonts w:hint="eastAsia" w:ascii="仿宋_GB2312" w:hAnsi="仿宋_GB2312" w:eastAsia="仿宋_GB2312" w:cs="仿宋_GB2312"/>
                <w:sz w:val="24"/>
                <w:szCs w:val="24"/>
                <w:highlight w:val="none"/>
                <w:lang w:eastAsia="zh-CN" w:bidi="zh-CN"/>
              </w:rPr>
              <w:t>成交供应商。</w:t>
            </w:r>
            <w:r>
              <w:rPr>
                <w:rFonts w:hint="eastAsia" w:ascii="仿宋_GB2312" w:hAnsi="仿宋_GB2312" w:eastAsia="仿宋_GB2312" w:cs="仿宋_GB2312"/>
                <w:sz w:val="24"/>
                <w:szCs w:val="24"/>
                <w:highlight w:val="none"/>
                <w:lang w:val="en-US" w:eastAsia="zh-CN" w:bidi="zh-CN"/>
              </w:rPr>
              <w:t>成交供应商确定后，成交供应商拒绝与采购人签订合同的或者放弃成交资格，采购人可以按照评审汇总表的排序，递补确定排名第二的供应商为成交供应商，也可以重新开展采购活动。</w:t>
            </w:r>
          </w:p>
        </w:tc>
      </w:tr>
      <w:tr w14:paraId="3711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C183FE3">
            <w:pPr>
              <w:adjustRightInd w:val="0"/>
              <w:snapToGrid w:val="0"/>
              <w:ind w:right="120" w:rightChars="5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、其他：</w:t>
            </w:r>
          </w:p>
          <w:p w14:paraId="6854CC0E">
            <w:pPr>
              <w:adjustRightInd w:val="0"/>
              <w:snapToGrid w:val="0"/>
              <w:ind w:right="120" w:rightChars="50"/>
              <w:rPr>
                <w:rFonts w:hint="eastAsia" w:ascii="仿宋_GB2312" w:hAnsi="仿宋_GB2312" w:eastAsia="仿宋_GB2312" w:cs="仿宋_GB2312"/>
                <w:sz w:val="28"/>
                <w:szCs w:val="28"/>
              </w:rPr>
            </w:pPr>
            <w:r>
              <w:rPr>
                <w:rFonts w:hint="eastAsia" w:ascii="仿宋_GB2312" w:hAnsi="仿宋_GB2312" w:eastAsia="仿宋_GB2312" w:cs="仿宋_GB2312"/>
                <w:sz w:val="24"/>
                <w:szCs w:val="24"/>
                <w:highlight w:val="none"/>
                <w:lang w:val="en-US" w:eastAsia="zh-CN" w:bidi="zh-CN"/>
              </w:rPr>
              <w:t>成交供应商在提供服务全流程过程中，发生的所有人身伤害或财产损失均由成交供应商自行承担全部责任。</w:t>
            </w:r>
          </w:p>
        </w:tc>
      </w:tr>
    </w:tbl>
    <w:p w14:paraId="5E5347A3">
      <w:pPr>
        <w:adjustRightInd w:val="0"/>
        <w:snapToGrid w:val="0"/>
        <w:ind w:right="120" w:rightChars="50"/>
        <w:jc w:val="left"/>
        <w:rPr>
          <w:rFonts w:hint="eastAsia" w:ascii="仿宋_GB2312" w:hAnsi="仿宋_GB2312" w:eastAsia="仿宋_GB2312" w:cs="仿宋_GB2312"/>
          <w:b/>
          <w:bCs/>
          <w:sz w:val="28"/>
          <w:szCs w:val="28"/>
        </w:rPr>
        <w:sectPr>
          <w:headerReference r:id="rId7" w:type="default"/>
          <w:footerReference r:id="rId8" w:type="default"/>
          <w:type w:val="continuous"/>
          <w:pgSz w:w="11900" w:h="16840"/>
          <w:pgMar w:top="1440" w:right="1800" w:bottom="1440" w:left="1800" w:header="851" w:footer="992" w:gutter="0"/>
          <w:pgNumType w:fmt="decimal"/>
          <w:cols w:space="425" w:num="1"/>
          <w:docGrid w:type="lines" w:linePitch="312" w:charSpace="0"/>
        </w:sectPr>
      </w:pPr>
    </w:p>
    <w:p w14:paraId="4DAA83E8">
      <w:pPr>
        <w:pStyle w:val="6"/>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附件：综合评分表</w:t>
      </w:r>
    </w:p>
    <w:tbl>
      <w:tblPr>
        <w:tblStyle w:val="12"/>
        <w:tblW w:w="15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5"/>
        <w:gridCol w:w="2243"/>
        <w:gridCol w:w="4078"/>
        <w:gridCol w:w="2902"/>
        <w:gridCol w:w="1439"/>
        <w:gridCol w:w="1316"/>
      </w:tblGrid>
      <w:tr w14:paraId="0759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1" w:hRule="atLeast"/>
          <w:jc w:val="center"/>
        </w:trPr>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4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服务方案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（A）</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（共</w:t>
            </w:r>
            <w:r>
              <w:rPr>
                <w:rFonts w:hint="eastAsia" w:ascii="宋体" w:hAnsi="宋体" w:cs="宋体"/>
                <w:b/>
                <w:bCs/>
                <w:i w:val="0"/>
                <w:iCs w:val="0"/>
                <w:color w:val="000000"/>
                <w:kern w:val="0"/>
                <w:sz w:val="24"/>
                <w:szCs w:val="24"/>
                <w:u w:val="none"/>
                <w:lang w:val="en-US" w:eastAsia="zh-CN" w:bidi="ar"/>
              </w:rPr>
              <w:t>50</w:t>
            </w:r>
            <w:r>
              <w:rPr>
                <w:rFonts w:hint="eastAsia" w:ascii="宋体" w:hAnsi="宋体" w:eastAsia="宋体" w:cs="宋体"/>
                <w:b/>
                <w:bCs/>
                <w:i w:val="0"/>
                <w:iCs w:val="0"/>
                <w:color w:val="000000"/>
                <w:kern w:val="0"/>
                <w:sz w:val="24"/>
                <w:szCs w:val="24"/>
                <w:u w:val="none"/>
                <w:lang w:val="en-US" w:eastAsia="zh-CN" w:bidi="ar"/>
              </w:rPr>
              <w:t>分）</w:t>
            </w:r>
          </w:p>
        </w:tc>
        <w:tc>
          <w:tcPr>
            <w:tcW w:w="9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227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项目经验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（B）</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（共</w:t>
            </w:r>
            <w:r>
              <w:rPr>
                <w:rFonts w:hint="eastAsia" w:ascii="宋体" w:hAnsi="宋体" w:cs="宋体"/>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CN" w:bidi="ar"/>
              </w:rPr>
              <w:t>0分）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价格部分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（C）</w:t>
            </w:r>
            <w:r>
              <w:rPr>
                <w:rFonts w:hint="eastAsia" w:ascii="宋体" w:hAnsi="宋体" w:eastAsia="宋体" w:cs="宋体"/>
                <w:b/>
                <w:bCs/>
                <w:i w:val="0"/>
                <w:iCs w:val="0"/>
                <w:color w:val="000000"/>
                <w:kern w:val="0"/>
                <w:sz w:val="24"/>
                <w:szCs w:val="24"/>
                <w:u w:val="none"/>
                <w:lang w:val="en-US" w:eastAsia="zh-CN" w:bidi="ar"/>
              </w:rPr>
              <w:br w:type="textWrapping"/>
            </w:r>
            <w:r>
              <w:rPr>
                <w:rStyle w:val="19"/>
                <w:lang w:val="en-US" w:eastAsia="zh-CN" w:bidi="ar"/>
              </w:rPr>
              <w:t>（</w:t>
            </w:r>
            <w:r>
              <w:rPr>
                <w:rStyle w:val="19"/>
                <w:rFonts w:hint="eastAsia"/>
                <w:lang w:val="en-US" w:eastAsia="zh-CN" w:bidi="ar"/>
              </w:rPr>
              <w:t>2</w:t>
            </w:r>
            <w:r>
              <w:rPr>
                <w:rStyle w:val="19"/>
                <w:lang w:val="en-US" w:eastAsia="zh-CN" w:bidi="ar"/>
              </w:rPr>
              <w:t>0分）</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CC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（D）</w:t>
            </w:r>
            <w:r>
              <w:rPr>
                <w:rFonts w:hint="eastAsia" w:ascii="宋体" w:hAnsi="宋体" w:eastAsia="宋体" w:cs="宋体"/>
                <w:b/>
                <w:bCs/>
                <w:i w:val="0"/>
                <w:iCs w:val="0"/>
                <w:color w:val="000000"/>
                <w:kern w:val="0"/>
                <w:sz w:val="24"/>
                <w:szCs w:val="24"/>
                <w:u w:val="none"/>
                <w:lang w:val="en-US" w:eastAsia="zh-CN" w:bidi="ar"/>
              </w:rPr>
              <w:br w:type="textWrapping"/>
            </w:r>
            <w:r>
              <w:rPr>
                <w:rStyle w:val="20"/>
                <w:lang w:val="en-US" w:eastAsia="zh-CN" w:bidi="ar"/>
              </w:rPr>
              <w:t>（100分）</w:t>
            </w:r>
          </w:p>
        </w:tc>
      </w:tr>
      <w:tr w14:paraId="3D28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9" w:hRule="atLeast"/>
          <w:jc w:val="center"/>
        </w:trPr>
        <w:tc>
          <w:tcPr>
            <w:tcW w:w="3635" w:type="dxa"/>
            <w:tcBorders>
              <w:top w:val="nil"/>
              <w:left w:val="single" w:color="000000" w:sz="4" w:space="0"/>
              <w:bottom w:val="single" w:color="000000" w:sz="4" w:space="0"/>
              <w:right w:val="single" w:color="000000" w:sz="4" w:space="0"/>
            </w:tcBorders>
            <w:shd w:val="clear" w:color="auto" w:fill="auto"/>
            <w:vAlign w:val="center"/>
          </w:tcPr>
          <w:p w14:paraId="6714C8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根据供应商针对为</w:t>
            </w:r>
            <w:r>
              <w:rPr>
                <w:rFonts w:hint="eastAsia" w:ascii="宋体" w:hAnsi="宋体" w:eastAsia="宋体" w:cs="宋体"/>
                <w:b/>
                <w:bCs/>
                <w:i w:val="0"/>
                <w:iCs w:val="0"/>
                <w:color w:val="000000"/>
                <w:kern w:val="0"/>
                <w:sz w:val="24"/>
                <w:szCs w:val="24"/>
                <w:u w:val="none"/>
                <w:lang w:val="en-US" w:eastAsia="zh-CN" w:bidi="ar"/>
              </w:rPr>
              <w:t>本项目的方案</w:t>
            </w:r>
            <w:r>
              <w:rPr>
                <w:rFonts w:hint="eastAsia" w:ascii="宋体" w:hAnsi="宋体" w:eastAsia="宋体" w:cs="宋体"/>
                <w:i w:val="0"/>
                <w:iCs w:val="0"/>
                <w:color w:val="000000"/>
                <w:kern w:val="0"/>
                <w:sz w:val="24"/>
                <w:szCs w:val="24"/>
                <w:u w:val="none"/>
                <w:lang w:val="en-US" w:eastAsia="zh-CN" w:bidi="ar"/>
              </w:rPr>
              <w:t>（包括服务标的的全部内容、计划安排时间、服务方案）的详细具体程度、合理性及可行性进行综合评价：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1、方案详细具体，合理性强，可行性高。得50分；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2、方案详细具体，但合理性及可行性一般。得40分；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3、方案不详细，但合理性及可行性一般。得30分；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4、方案不详细，且不合理及没有可行性。得20分；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5、没有编制方案的不得分。</w:t>
            </w:r>
          </w:p>
        </w:tc>
        <w:tc>
          <w:tcPr>
            <w:tcW w:w="2243" w:type="dxa"/>
            <w:tcBorders>
              <w:top w:val="nil"/>
              <w:left w:val="single" w:color="000000" w:sz="4" w:space="0"/>
              <w:bottom w:val="single" w:color="000000" w:sz="4" w:space="0"/>
              <w:right w:val="single" w:color="000000" w:sz="4" w:space="0"/>
            </w:tcBorders>
            <w:shd w:val="clear" w:color="auto" w:fill="auto"/>
            <w:vAlign w:val="center"/>
          </w:tcPr>
          <w:p w14:paraId="79D218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rPr>
              <w:t>项目经验（</w:t>
            </w:r>
            <w:r>
              <w:rPr>
                <w:rFonts w:hint="eastAsia" w:ascii="宋体" w:hAnsi="宋体" w:cs="宋体"/>
                <w:b/>
                <w:bCs/>
                <w:i w:val="0"/>
                <w:iCs w:val="0"/>
                <w:color w:val="000000"/>
                <w:sz w:val="24"/>
                <w:szCs w:val="24"/>
                <w:u w:val="none"/>
                <w:lang w:val="en-US" w:eastAsia="zh-CN"/>
              </w:rPr>
              <w:t>1</w:t>
            </w:r>
            <w:r>
              <w:rPr>
                <w:rFonts w:hint="eastAsia" w:ascii="宋体" w:hAnsi="宋体" w:eastAsia="宋体" w:cs="宋体"/>
                <w:b/>
                <w:bCs/>
                <w:i w:val="0"/>
                <w:iCs w:val="0"/>
                <w:color w:val="000000"/>
                <w:sz w:val="24"/>
                <w:szCs w:val="24"/>
                <w:u w:val="none"/>
              </w:rPr>
              <w:t>0分）</w:t>
            </w:r>
            <w:r>
              <w:rPr>
                <w:rFonts w:hint="eastAsia" w:ascii="宋体" w:hAnsi="宋体" w:eastAsia="宋体" w:cs="宋体"/>
                <w:i w:val="0"/>
                <w:iCs w:val="0"/>
                <w:color w:val="000000"/>
                <w:sz w:val="24"/>
                <w:szCs w:val="24"/>
                <w:u w:val="none"/>
              </w:rPr>
              <w:t>:</w:t>
            </w:r>
          </w:p>
          <w:p w14:paraId="502C74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自2022年1月1日至今供应商独立承担过类似项目经验的每个得5分，2个或以上此项得满分。 </w:t>
            </w:r>
          </w:p>
          <w:p w14:paraId="4FF1E5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rPr>
              <w:t>备注：须提供相关的合同复印件并加盖供应商公章，否则不得分。</w:t>
            </w:r>
          </w:p>
        </w:tc>
        <w:tc>
          <w:tcPr>
            <w:tcW w:w="4078" w:type="dxa"/>
            <w:tcBorders>
              <w:top w:val="nil"/>
              <w:left w:val="single" w:color="000000" w:sz="4" w:space="0"/>
              <w:bottom w:val="single" w:color="000000" w:sz="4" w:space="0"/>
              <w:right w:val="single" w:color="000000" w:sz="4" w:space="0"/>
            </w:tcBorders>
            <w:shd w:val="clear" w:color="auto" w:fill="auto"/>
            <w:vAlign w:val="center"/>
          </w:tcPr>
          <w:p w14:paraId="204583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b/>
                <w:bCs/>
                <w:i w:val="0"/>
                <w:iCs w:val="0"/>
                <w:color w:val="000000"/>
                <w:sz w:val="24"/>
                <w:szCs w:val="24"/>
                <w:u w:val="none"/>
                <w:lang w:val="en-US" w:eastAsia="zh-CN"/>
              </w:rPr>
              <w:t>人员</w:t>
            </w:r>
            <w:r>
              <w:rPr>
                <w:rFonts w:hint="eastAsia" w:ascii="宋体" w:hAnsi="宋体" w:eastAsia="宋体" w:cs="宋体"/>
                <w:b/>
                <w:bCs/>
                <w:i w:val="0"/>
                <w:iCs w:val="0"/>
                <w:color w:val="000000"/>
                <w:sz w:val="24"/>
                <w:szCs w:val="24"/>
                <w:u w:val="none"/>
              </w:rPr>
              <w:t>总体水平（</w:t>
            </w:r>
            <w:r>
              <w:rPr>
                <w:rFonts w:hint="eastAsia" w:ascii="宋体" w:hAnsi="宋体" w:cs="宋体"/>
                <w:b/>
                <w:bCs/>
                <w:i w:val="0"/>
                <w:iCs w:val="0"/>
                <w:color w:val="000000"/>
                <w:sz w:val="24"/>
                <w:szCs w:val="24"/>
                <w:u w:val="none"/>
                <w:lang w:val="en-US" w:eastAsia="zh-CN"/>
              </w:rPr>
              <w:t>1</w:t>
            </w:r>
            <w:r>
              <w:rPr>
                <w:rFonts w:hint="eastAsia" w:ascii="宋体" w:hAnsi="宋体" w:eastAsia="宋体" w:cs="宋体"/>
                <w:b/>
                <w:bCs/>
                <w:i w:val="0"/>
                <w:iCs w:val="0"/>
                <w:color w:val="000000"/>
                <w:sz w:val="24"/>
                <w:szCs w:val="24"/>
                <w:u w:val="none"/>
              </w:rPr>
              <w:t>0分）</w:t>
            </w:r>
            <w:r>
              <w:rPr>
                <w:rFonts w:hint="eastAsia" w:ascii="宋体" w:hAnsi="宋体" w:eastAsia="宋体" w:cs="宋体"/>
                <w:i w:val="0"/>
                <w:iCs w:val="0"/>
                <w:color w:val="000000"/>
                <w:sz w:val="24"/>
                <w:szCs w:val="24"/>
                <w:u w:val="none"/>
              </w:rPr>
              <w:t>:</w:t>
            </w:r>
          </w:p>
          <w:p w14:paraId="436F5A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根据供应商为本项目配备的技术团队力量和项目实施能力进行综合评分： </w:t>
            </w:r>
          </w:p>
          <w:p w14:paraId="5DA2AD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1、人员综合素质水平高，得10分； </w:t>
            </w:r>
          </w:p>
          <w:p w14:paraId="2E7AF9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2、人员综合素质水平较高，得6分； </w:t>
            </w:r>
          </w:p>
          <w:p w14:paraId="5AA522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3、人员综合素质水平一般，得4分；</w:t>
            </w:r>
          </w:p>
          <w:p w14:paraId="7990A8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4、人员综合素质水平较差或不提供的，得0分； </w:t>
            </w:r>
          </w:p>
          <w:p w14:paraId="2E23CA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rPr>
              <w:t>备注：提供服务团队人员的相关证明材料（如：资格证、学历证等）复印件并加盖公章。</w:t>
            </w:r>
          </w:p>
        </w:tc>
        <w:tc>
          <w:tcPr>
            <w:tcW w:w="2902" w:type="dxa"/>
            <w:tcBorders>
              <w:top w:val="nil"/>
              <w:left w:val="single" w:color="000000" w:sz="4" w:space="0"/>
              <w:bottom w:val="single" w:color="000000" w:sz="4" w:space="0"/>
              <w:right w:val="single" w:color="000000" w:sz="4" w:space="0"/>
            </w:tcBorders>
            <w:shd w:val="clear" w:color="auto" w:fill="auto"/>
            <w:vAlign w:val="center"/>
          </w:tcPr>
          <w:p w14:paraId="77B9C8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企业总体水平（10分）：</w:t>
            </w:r>
            <w:r>
              <w:rPr>
                <w:rFonts w:hint="eastAsia" w:ascii="宋体" w:hAnsi="宋体" w:eastAsia="宋体" w:cs="宋体"/>
                <w:i w:val="0"/>
                <w:iCs w:val="0"/>
                <w:color w:val="000000"/>
                <w:sz w:val="24"/>
                <w:szCs w:val="24"/>
                <w:u w:val="none"/>
              </w:rPr>
              <w:t>根据供应商资质</w:t>
            </w:r>
            <w:r>
              <w:rPr>
                <w:rFonts w:hint="eastAsia" w:ascii="宋体" w:hAnsi="宋体" w:cs="宋体"/>
                <w:i w:val="0"/>
                <w:iCs w:val="0"/>
                <w:color w:val="000000"/>
                <w:sz w:val="24"/>
                <w:szCs w:val="24"/>
                <w:u w:val="none"/>
                <w:lang w:val="en-US" w:eastAsia="zh-CN"/>
              </w:rPr>
              <w:t>进行综合评分：</w:t>
            </w:r>
          </w:p>
          <w:p w14:paraId="4E5CB1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w:t>
            </w:r>
            <w:r>
              <w:rPr>
                <w:rFonts w:hint="eastAsia" w:ascii="宋体" w:hAnsi="宋体" w:cs="宋体"/>
                <w:i w:val="0"/>
                <w:iCs w:val="0"/>
                <w:color w:val="000000"/>
                <w:sz w:val="24"/>
                <w:szCs w:val="24"/>
                <w:u w:val="none"/>
                <w:lang w:val="en-US" w:eastAsia="zh-CN"/>
              </w:rPr>
              <w:t>企业</w:t>
            </w:r>
            <w:r>
              <w:rPr>
                <w:rFonts w:hint="eastAsia" w:ascii="宋体" w:hAnsi="宋体" w:eastAsia="宋体" w:cs="宋体"/>
                <w:i w:val="0"/>
                <w:iCs w:val="0"/>
                <w:color w:val="000000"/>
                <w:sz w:val="24"/>
                <w:szCs w:val="24"/>
                <w:u w:val="none"/>
              </w:rPr>
              <w:t xml:space="preserve">综合水平高，得10分； </w:t>
            </w:r>
          </w:p>
          <w:p w14:paraId="7E31E3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w:t>
            </w:r>
            <w:r>
              <w:rPr>
                <w:rFonts w:hint="eastAsia" w:ascii="宋体" w:hAnsi="宋体" w:cs="宋体"/>
                <w:i w:val="0"/>
                <w:iCs w:val="0"/>
                <w:color w:val="000000"/>
                <w:sz w:val="24"/>
                <w:szCs w:val="24"/>
                <w:u w:val="none"/>
                <w:lang w:val="en-US" w:eastAsia="zh-CN"/>
              </w:rPr>
              <w:t>企业</w:t>
            </w:r>
            <w:r>
              <w:rPr>
                <w:rFonts w:hint="eastAsia" w:ascii="宋体" w:hAnsi="宋体" w:eastAsia="宋体" w:cs="宋体"/>
                <w:i w:val="0"/>
                <w:iCs w:val="0"/>
                <w:color w:val="000000"/>
                <w:sz w:val="24"/>
                <w:szCs w:val="24"/>
                <w:u w:val="none"/>
              </w:rPr>
              <w:t>综合水平</w:t>
            </w:r>
            <w:r>
              <w:rPr>
                <w:rFonts w:hint="eastAsia" w:ascii="宋体" w:hAnsi="宋体" w:cs="宋体"/>
                <w:i w:val="0"/>
                <w:iCs w:val="0"/>
                <w:color w:val="000000"/>
                <w:sz w:val="24"/>
                <w:szCs w:val="24"/>
                <w:u w:val="none"/>
                <w:lang w:val="en-US" w:eastAsia="zh-CN"/>
              </w:rPr>
              <w:t>一般</w:t>
            </w:r>
            <w:r>
              <w:rPr>
                <w:rFonts w:hint="eastAsia" w:ascii="宋体" w:hAnsi="宋体" w:eastAsia="宋体" w:cs="宋体"/>
                <w:i w:val="0"/>
                <w:iCs w:val="0"/>
                <w:color w:val="000000"/>
                <w:sz w:val="24"/>
                <w:szCs w:val="24"/>
                <w:u w:val="none"/>
              </w:rPr>
              <w:t>，得</w:t>
            </w:r>
            <w:r>
              <w:rPr>
                <w:rFonts w:hint="eastAsia" w:ascii="宋体" w:hAnsi="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 xml:space="preserve">分； </w:t>
            </w:r>
          </w:p>
          <w:p w14:paraId="13403A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w:t>
            </w:r>
            <w:r>
              <w:rPr>
                <w:rFonts w:hint="eastAsia" w:ascii="宋体" w:hAnsi="宋体" w:cs="宋体"/>
                <w:i w:val="0"/>
                <w:iCs w:val="0"/>
                <w:color w:val="000000"/>
                <w:sz w:val="24"/>
                <w:szCs w:val="24"/>
                <w:u w:val="none"/>
                <w:lang w:val="en-US" w:eastAsia="zh-CN"/>
              </w:rPr>
              <w:t>企业</w:t>
            </w:r>
            <w:r>
              <w:rPr>
                <w:rFonts w:hint="eastAsia" w:ascii="宋体" w:hAnsi="宋体" w:eastAsia="宋体" w:cs="宋体"/>
                <w:i w:val="0"/>
                <w:iCs w:val="0"/>
                <w:color w:val="000000"/>
                <w:sz w:val="24"/>
                <w:szCs w:val="24"/>
                <w:u w:val="none"/>
              </w:rPr>
              <w:t xml:space="preserve">综合素质水平较差或不提供的，得0分； </w:t>
            </w:r>
          </w:p>
          <w:p w14:paraId="1826CB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rPr>
              <w:t>备注：提供</w:t>
            </w:r>
            <w:r>
              <w:rPr>
                <w:rFonts w:hint="eastAsia" w:ascii="宋体" w:hAnsi="宋体" w:cs="宋体"/>
                <w:b/>
                <w:bCs/>
                <w:i w:val="0"/>
                <w:iCs w:val="0"/>
                <w:color w:val="000000"/>
                <w:sz w:val="24"/>
                <w:szCs w:val="24"/>
                <w:u w:val="none"/>
                <w:lang w:val="en-US" w:eastAsia="zh-CN"/>
              </w:rPr>
              <w:t>企业</w:t>
            </w:r>
            <w:r>
              <w:rPr>
                <w:rFonts w:hint="eastAsia" w:ascii="宋体" w:hAnsi="宋体" w:eastAsia="宋体" w:cs="宋体"/>
                <w:b/>
                <w:bCs/>
                <w:i w:val="0"/>
                <w:iCs w:val="0"/>
                <w:color w:val="000000"/>
                <w:sz w:val="24"/>
                <w:szCs w:val="24"/>
                <w:u w:val="none"/>
              </w:rPr>
              <w:t>的相关证明材料（如：</w:t>
            </w:r>
            <w:r>
              <w:rPr>
                <w:rFonts w:hint="eastAsia" w:ascii="宋体" w:hAnsi="宋体" w:cs="宋体"/>
                <w:b/>
                <w:bCs/>
                <w:i w:val="0"/>
                <w:iCs w:val="0"/>
                <w:color w:val="000000"/>
                <w:sz w:val="24"/>
                <w:szCs w:val="24"/>
                <w:u w:val="none"/>
                <w:lang w:val="en-US" w:eastAsia="zh-CN"/>
              </w:rPr>
              <w:t>企业资质证书</w:t>
            </w:r>
            <w:r>
              <w:rPr>
                <w:rFonts w:hint="eastAsia" w:ascii="宋体" w:hAnsi="宋体" w:eastAsia="宋体" w:cs="宋体"/>
                <w:b/>
                <w:bCs/>
                <w:i w:val="0"/>
                <w:iCs w:val="0"/>
                <w:color w:val="000000"/>
                <w:sz w:val="24"/>
                <w:szCs w:val="24"/>
                <w:u w:val="none"/>
              </w:rPr>
              <w:t>等）复印件并加盖公章。</w:t>
            </w:r>
          </w:p>
        </w:tc>
        <w:tc>
          <w:tcPr>
            <w:tcW w:w="1439" w:type="dxa"/>
            <w:tcBorders>
              <w:top w:val="nil"/>
              <w:left w:val="single" w:color="000000" w:sz="4" w:space="0"/>
              <w:bottom w:val="single" w:color="000000" w:sz="4" w:space="0"/>
              <w:right w:val="single" w:color="000000" w:sz="4" w:space="0"/>
            </w:tcBorders>
            <w:shd w:val="clear" w:color="auto" w:fill="auto"/>
            <w:vAlign w:val="center"/>
          </w:tcPr>
          <w:p w14:paraId="46AFA1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价格得分（C）=评标基准价（C1）／投标报价（C2）×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0，其中C1为参与商报价中的最低价，C2为某参与商的报价。</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55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r>
    </w:tbl>
    <w:p w14:paraId="7B0549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仿宋_GB2312" w:hAnsi="仿宋_GB2312" w:eastAsia="仿宋_GB2312" w:cs="仿宋_GB2312"/>
          <w:i w:val="0"/>
          <w:iCs w:val="0"/>
          <w:caps w:val="0"/>
          <w:color w:val="2B2B2B"/>
          <w:spacing w:val="0"/>
          <w:sz w:val="28"/>
          <w:szCs w:val="28"/>
          <w:shd w:val="clear" w:fill="FFFFFF"/>
          <w:lang w:val="en-US" w:eastAsia="zh-CN"/>
        </w:rPr>
      </w:pPr>
      <w:bookmarkStart w:id="0" w:name="_GoBack"/>
      <w:bookmarkEnd w:id="0"/>
    </w:p>
    <w:sectPr>
      <w:headerReference r:id="rId9" w:type="default"/>
      <w:footerReference r:id="rId10" w:type="default"/>
      <w:pgSz w:w="16838" w:h="11906" w:orient="landscape"/>
      <w:pgMar w:top="1803" w:right="1440" w:bottom="1803" w:left="1440" w:header="851" w:footer="992" w:gutter="0"/>
      <w:paperSrc/>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01C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5B3D">
                          <w:pPr>
                            <w:pStyle w:val="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6D5B3D">
                    <w:pPr>
                      <w:pStyle w:val="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98C6">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691E1"/>
    <w:multiLevelType w:val="singleLevel"/>
    <w:tmpl w:val="907691E1"/>
    <w:lvl w:ilvl="0" w:tentative="0">
      <w:start w:val="2"/>
      <w:numFmt w:val="decimal"/>
      <w:suff w:val="nothing"/>
      <w:lvlText w:val="%1、"/>
      <w:lvlJc w:val="left"/>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ED5C15"/>
    <w:multiLevelType w:val="singleLevel"/>
    <w:tmpl w:val="67ED5C1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270380"/>
    <w:rsid w:val="09AE6AAA"/>
    <w:rsid w:val="108C1CE9"/>
    <w:rsid w:val="17316A1C"/>
    <w:rsid w:val="1EC341D8"/>
    <w:rsid w:val="21AC6893"/>
    <w:rsid w:val="21F71A28"/>
    <w:rsid w:val="275072F5"/>
    <w:rsid w:val="2C872D09"/>
    <w:rsid w:val="33557238"/>
    <w:rsid w:val="3DBF0FE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2369</Words>
  <Characters>2437</Characters>
  <Lines>0</Lines>
  <Paragraphs>0</Paragraphs>
  <TotalTime>6</TotalTime>
  <ScaleCrop>false</ScaleCrop>
  <LinksUpToDate>false</LinksUpToDate>
  <CharactersWithSpaces>2510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彭圆员</cp:lastModifiedBy>
  <dcterms:modified xsi:type="dcterms:W3CDTF">2026-03-17T02:54:56Z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1A8700FF80BB48B1B032585C92ECA0CC_13</vt:lpwstr>
  </property>
  <property fmtid="{D5CDD505-2E9C-101B-9397-08002B2CF9AE}" pid="4" name="KSOTemplateDocerSaveRecord">
    <vt:lpwstr>eyJoZGlkIjoiYzM2ZDI0YzYzNjkyZGE1YjQ4YmUyYTk4NGRiOWQxY2MiLCJ1c2VySWQiOiIxNzg0MDA4MjE2In0=</vt:lpwstr>
  </property>
</Properties>
</file>