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color w:val="auto"/>
          <w:sz w:val="32"/>
          <w:szCs w:val="32"/>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一、项目基本情况</w:t>
      </w:r>
    </w:p>
    <w:tbl>
      <w:tblPr>
        <w:tblStyle w:val="1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7164"/>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1" w:type="dxa"/>
            <w:vAlign w:val="center"/>
          </w:tcPr>
          <w:p w14:paraId="66EAFF3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164" w:type="dxa"/>
            <w:vAlign w:val="center"/>
          </w:tcPr>
          <w:p w14:paraId="006DFF07">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中山市口腔医院2026年儿童口腔科专项经费器械采购项目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1" w:type="dxa"/>
            <w:vAlign w:val="center"/>
          </w:tcPr>
          <w:p w14:paraId="44ECE8B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7164" w:type="dxa"/>
            <w:vAlign w:val="center"/>
          </w:tcPr>
          <w:p w14:paraId="4D49B931">
            <w:pPr>
              <w:spacing w:line="360" w:lineRule="auto"/>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75000元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1" w:type="dxa"/>
            <w:vAlign w:val="center"/>
          </w:tcPr>
          <w:p w14:paraId="3BFC5E92">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报价最高限价</w:t>
            </w:r>
          </w:p>
        </w:tc>
        <w:tc>
          <w:tcPr>
            <w:tcW w:w="7164" w:type="dxa"/>
            <w:vAlign w:val="center"/>
          </w:tcPr>
          <w:p w14:paraId="7DC1F74F">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75000元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35" w:type="dxa"/>
            <w:gridSpan w:val="2"/>
            <w:vAlign w:val="center"/>
          </w:tcPr>
          <w:p w14:paraId="7B24291C">
            <w:pPr>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供应商报价不得超过“报价最高限价”，否则视为无效报价。</w:t>
            </w:r>
          </w:p>
        </w:tc>
      </w:tr>
    </w:tbl>
    <w:p w14:paraId="2A81CF6C">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二、采购设备名称清单</w:t>
      </w:r>
    </w:p>
    <w:tbl>
      <w:tblPr>
        <w:tblStyle w:val="12"/>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82"/>
        <w:gridCol w:w="1282"/>
        <w:gridCol w:w="886"/>
        <w:gridCol w:w="2618"/>
        <w:gridCol w:w="1405"/>
      </w:tblGrid>
      <w:tr w14:paraId="761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序号</w:t>
            </w:r>
          </w:p>
        </w:tc>
        <w:tc>
          <w:tcPr>
            <w:tcW w:w="1882"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设备</w:t>
            </w:r>
            <w:r>
              <w:rPr>
                <w:rFonts w:hint="eastAsia" w:ascii="仿宋_GB2312" w:hAnsi="仿宋_GB2312" w:eastAsia="仿宋_GB2312" w:cs="仿宋_GB2312"/>
                <w:color w:val="000000" w:themeColor="text1"/>
                <w:kern w:val="0"/>
                <w:sz w:val="24"/>
                <w:szCs w:val="24"/>
                <w14:textFill>
                  <w14:solidFill>
                    <w14:schemeClr w14:val="tx1"/>
                  </w14:solidFill>
                </w14:textFill>
              </w:rPr>
              <w:t>名称</w:t>
            </w:r>
          </w:p>
        </w:tc>
        <w:tc>
          <w:tcPr>
            <w:tcW w:w="1282"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计量单位</w:t>
            </w:r>
          </w:p>
        </w:tc>
        <w:tc>
          <w:tcPr>
            <w:tcW w:w="886"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数量</w:t>
            </w:r>
          </w:p>
        </w:tc>
        <w:tc>
          <w:tcPr>
            <w:tcW w:w="2618" w:type="dxa"/>
            <w:shd w:val="clear" w:color="auto" w:fill="FFFFFF"/>
            <w:tcMar>
              <w:top w:w="0" w:type="dxa"/>
              <w:right w:w="0" w:type="dxa"/>
            </w:tcMar>
            <w:vAlign w:val="center"/>
          </w:tcPr>
          <w:p w14:paraId="0D8EB80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单价最高限价（元/套）</w:t>
            </w:r>
          </w:p>
        </w:tc>
        <w:tc>
          <w:tcPr>
            <w:tcW w:w="1405" w:type="dxa"/>
            <w:shd w:val="clear" w:color="auto" w:fill="FFFFFF"/>
            <w:tcMar>
              <w:top w:w="0" w:type="dxa"/>
              <w:right w:w="0" w:type="dxa"/>
            </w:tcMar>
            <w:vAlign w:val="center"/>
          </w:tcPr>
          <w:p w14:paraId="3DCA2B4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质保期</w:t>
            </w:r>
          </w:p>
        </w:tc>
      </w:tr>
      <w:tr w14:paraId="0042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permStart w:id="0" w:edGrp="everyone" w:colFirst="0" w:colLast="0"/>
            <w:permStart w:id="1" w:edGrp="everyone" w:colFirst="1" w:colLast="1"/>
            <w:permStart w:id="2" w:edGrp="everyone" w:colFirst="2" w:colLast="2"/>
            <w:permStart w:id="3" w:edGrp="everyone" w:colFirst="3" w:colLast="3"/>
            <w:r>
              <w:rPr>
                <w:rFonts w:hint="eastAsia" w:ascii="仿宋_GB2312" w:hAnsi="仿宋_GB2312" w:eastAsia="仿宋_GB2312" w:cs="仿宋_GB2312"/>
                <w:b w:val="0"/>
                <w:bCs w:val="0"/>
                <w:color w:val="auto"/>
                <w:kern w:val="0"/>
                <w:sz w:val="24"/>
                <w:szCs w:val="24"/>
                <w:lang w:val="en-US" w:eastAsia="zh-CN"/>
              </w:rPr>
              <w:t>1</w:t>
            </w:r>
          </w:p>
        </w:tc>
        <w:tc>
          <w:tcPr>
            <w:tcW w:w="1882"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光固化机A</w:t>
            </w:r>
          </w:p>
        </w:tc>
        <w:tc>
          <w:tcPr>
            <w:tcW w:w="1282"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套</w:t>
            </w:r>
          </w:p>
        </w:tc>
        <w:tc>
          <w:tcPr>
            <w:tcW w:w="886"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w:t>
            </w:r>
          </w:p>
        </w:tc>
        <w:tc>
          <w:tcPr>
            <w:tcW w:w="2618" w:type="dxa"/>
            <w:shd w:val="clear" w:color="auto" w:fill="FFFFFF"/>
            <w:tcMar>
              <w:top w:w="0" w:type="dxa"/>
              <w:right w:w="0" w:type="dxa"/>
            </w:tcMar>
            <w:vAlign w:val="center"/>
          </w:tcPr>
          <w:p w14:paraId="166DAEC7">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10000</w:t>
            </w:r>
          </w:p>
        </w:tc>
        <w:tc>
          <w:tcPr>
            <w:tcW w:w="1405" w:type="dxa"/>
            <w:shd w:val="clear" w:color="auto" w:fill="FFFFFF"/>
            <w:tcMar>
              <w:top w:w="0" w:type="dxa"/>
              <w:right w:w="0" w:type="dxa"/>
            </w:tcMar>
            <w:vAlign w:val="center"/>
          </w:tcPr>
          <w:p w14:paraId="5CE7F1B5">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default"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不少于3年</w:t>
            </w:r>
          </w:p>
        </w:tc>
      </w:tr>
      <w:permEnd w:id="0"/>
      <w:permEnd w:id="1"/>
      <w:permEnd w:id="2"/>
      <w:permEnd w:id="3"/>
      <w:tr w14:paraId="367F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18A0429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permStart w:id="4" w:edGrp="everyone"/>
            <w:r>
              <w:rPr>
                <w:rFonts w:hint="eastAsia" w:ascii="仿宋_GB2312" w:hAnsi="仿宋_GB2312" w:eastAsia="仿宋_GB2312" w:cs="仿宋_GB2312"/>
                <w:b w:val="0"/>
                <w:bCs w:val="0"/>
                <w:color w:val="auto"/>
                <w:kern w:val="0"/>
                <w:sz w:val="24"/>
                <w:szCs w:val="24"/>
                <w:lang w:val="en-US" w:eastAsia="zh-CN"/>
              </w:rPr>
              <w:t>2</w:t>
            </w:r>
          </w:p>
        </w:tc>
        <w:tc>
          <w:tcPr>
            <w:tcW w:w="1882" w:type="dxa"/>
            <w:shd w:val="clear" w:color="auto" w:fill="FFFFFF"/>
            <w:tcMar>
              <w:top w:w="0" w:type="dxa"/>
              <w:right w:w="0" w:type="dxa"/>
            </w:tcMar>
            <w:vAlign w:val="center"/>
          </w:tcPr>
          <w:p w14:paraId="6AA883C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光固化机B</w:t>
            </w:r>
          </w:p>
        </w:tc>
        <w:tc>
          <w:tcPr>
            <w:tcW w:w="1282" w:type="dxa"/>
            <w:shd w:val="clear" w:color="auto" w:fill="FFFFFF"/>
            <w:tcMar>
              <w:top w:w="0" w:type="dxa"/>
              <w:right w:w="0" w:type="dxa"/>
            </w:tcMar>
            <w:vAlign w:val="center"/>
          </w:tcPr>
          <w:p w14:paraId="75C8D0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套</w:t>
            </w:r>
          </w:p>
        </w:tc>
        <w:tc>
          <w:tcPr>
            <w:tcW w:w="886" w:type="dxa"/>
            <w:shd w:val="clear" w:color="auto" w:fill="FFFFFF"/>
            <w:tcMar>
              <w:top w:w="0" w:type="dxa"/>
              <w:right w:w="0" w:type="dxa"/>
            </w:tcMar>
            <w:vAlign w:val="center"/>
          </w:tcPr>
          <w:p w14:paraId="706AA1D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5</w:t>
            </w:r>
          </w:p>
        </w:tc>
        <w:tc>
          <w:tcPr>
            <w:tcW w:w="2618" w:type="dxa"/>
            <w:shd w:val="clear" w:color="auto" w:fill="FFFFFF"/>
            <w:tcMar>
              <w:top w:w="0" w:type="dxa"/>
              <w:right w:w="0" w:type="dxa"/>
            </w:tcMar>
            <w:vAlign w:val="center"/>
          </w:tcPr>
          <w:p w14:paraId="61D69AB8">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3200</w:t>
            </w:r>
          </w:p>
        </w:tc>
        <w:tc>
          <w:tcPr>
            <w:tcW w:w="1405" w:type="dxa"/>
            <w:shd w:val="clear" w:color="auto" w:fill="FFFFFF"/>
            <w:tcMar>
              <w:top w:w="0" w:type="dxa"/>
              <w:right w:w="0" w:type="dxa"/>
            </w:tcMar>
            <w:vAlign w:val="center"/>
          </w:tcPr>
          <w:p w14:paraId="3D3104FB">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不少于3年</w:t>
            </w:r>
          </w:p>
        </w:tc>
      </w:tr>
      <w:tr w14:paraId="4D51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3FA461E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w:t>
            </w:r>
          </w:p>
        </w:tc>
        <w:tc>
          <w:tcPr>
            <w:tcW w:w="1882" w:type="dxa"/>
            <w:shd w:val="clear" w:color="auto" w:fill="FFFFFF"/>
            <w:tcMar>
              <w:top w:w="0" w:type="dxa"/>
              <w:right w:w="0" w:type="dxa"/>
            </w:tcMar>
            <w:vAlign w:val="center"/>
          </w:tcPr>
          <w:p w14:paraId="67F25AB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牙科气动马达</w:t>
            </w:r>
          </w:p>
        </w:tc>
        <w:tc>
          <w:tcPr>
            <w:tcW w:w="1282" w:type="dxa"/>
            <w:shd w:val="clear" w:color="auto" w:fill="FFFFFF"/>
            <w:tcMar>
              <w:top w:w="0" w:type="dxa"/>
              <w:right w:w="0" w:type="dxa"/>
            </w:tcMar>
            <w:vAlign w:val="center"/>
          </w:tcPr>
          <w:p w14:paraId="09A5E6B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套</w:t>
            </w:r>
          </w:p>
        </w:tc>
        <w:tc>
          <w:tcPr>
            <w:tcW w:w="886" w:type="dxa"/>
            <w:shd w:val="clear" w:color="auto" w:fill="FFFFFF"/>
            <w:tcMar>
              <w:top w:w="0" w:type="dxa"/>
              <w:right w:w="0" w:type="dxa"/>
            </w:tcMar>
            <w:vAlign w:val="center"/>
          </w:tcPr>
          <w:p w14:paraId="586B266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w:t>
            </w:r>
          </w:p>
        </w:tc>
        <w:tc>
          <w:tcPr>
            <w:tcW w:w="2618" w:type="dxa"/>
            <w:shd w:val="clear" w:color="auto" w:fill="FFFFFF"/>
            <w:tcMar>
              <w:top w:w="0" w:type="dxa"/>
              <w:right w:w="0" w:type="dxa"/>
            </w:tcMar>
            <w:vAlign w:val="center"/>
          </w:tcPr>
          <w:p w14:paraId="1A6F1443">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1650</w:t>
            </w:r>
          </w:p>
        </w:tc>
        <w:tc>
          <w:tcPr>
            <w:tcW w:w="1405" w:type="dxa"/>
            <w:shd w:val="clear" w:color="auto" w:fill="FFFFFF"/>
            <w:tcMar>
              <w:top w:w="0" w:type="dxa"/>
              <w:right w:w="0" w:type="dxa"/>
            </w:tcMar>
            <w:vAlign w:val="center"/>
          </w:tcPr>
          <w:p w14:paraId="60275250">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不少于1年</w:t>
            </w:r>
          </w:p>
        </w:tc>
      </w:tr>
      <w:tr w14:paraId="2AE9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auto"/>
            <w:tcMar>
              <w:top w:w="0" w:type="dxa"/>
              <w:right w:w="0" w:type="dxa"/>
            </w:tcMar>
            <w:vAlign w:val="center"/>
          </w:tcPr>
          <w:p w14:paraId="4603CD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4</w:t>
            </w:r>
          </w:p>
        </w:tc>
        <w:tc>
          <w:tcPr>
            <w:tcW w:w="1882" w:type="dxa"/>
            <w:shd w:val="clear" w:color="auto" w:fill="FFFFFF"/>
            <w:tcMar>
              <w:top w:w="0" w:type="dxa"/>
              <w:right w:w="0" w:type="dxa"/>
            </w:tcMar>
            <w:vAlign w:val="center"/>
          </w:tcPr>
          <w:p w14:paraId="66CDBF0B">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i/>
                <w:iCs/>
                <w:color w:val="FF0000"/>
                <w:sz w:val="24"/>
                <w:szCs w:val="24"/>
                <w:highlight w:val="yellow"/>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牙科弯手机</w:t>
            </w:r>
          </w:p>
        </w:tc>
        <w:tc>
          <w:tcPr>
            <w:tcW w:w="1282" w:type="dxa"/>
            <w:shd w:val="clear" w:color="auto" w:fill="FFFFFF"/>
            <w:tcMar>
              <w:top w:w="0" w:type="dxa"/>
              <w:right w:w="0" w:type="dxa"/>
            </w:tcMar>
            <w:vAlign w:val="center"/>
          </w:tcPr>
          <w:p w14:paraId="43C17C2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i/>
                <w:iCs/>
                <w:color w:val="FF0000"/>
                <w:sz w:val="24"/>
                <w:szCs w:val="24"/>
                <w:highlight w:val="yellow"/>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套</w:t>
            </w:r>
          </w:p>
        </w:tc>
        <w:tc>
          <w:tcPr>
            <w:tcW w:w="886" w:type="dxa"/>
            <w:shd w:val="clear" w:color="auto" w:fill="FFFFFF"/>
            <w:tcMar>
              <w:top w:w="0" w:type="dxa"/>
              <w:right w:w="0" w:type="dxa"/>
            </w:tcMar>
            <w:vAlign w:val="center"/>
          </w:tcPr>
          <w:p w14:paraId="010659CA">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i/>
                <w:iCs/>
                <w:color w:val="FF0000"/>
                <w:sz w:val="24"/>
                <w:szCs w:val="24"/>
                <w:highlight w:val="yellow"/>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25</w:t>
            </w:r>
          </w:p>
        </w:tc>
        <w:tc>
          <w:tcPr>
            <w:tcW w:w="2618" w:type="dxa"/>
            <w:shd w:val="clear" w:color="auto" w:fill="FFFFFF"/>
            <w:tcMar>
              <w:top w:w="0" w:type="dxa"/>
              <w:right w:w="0" w:type="dxa"/>
            </w:tcMar>
            <w:vAlign w:val="center"/>
          </w:tcPr>
          <w:p w14:paraId="473535FD">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900</w:t>
            </w:r>
          </w:p>
        </w:tc>
        <w:tc>
          <w:tcPr>
            <w:tcW w:w="1405" w:type="dxa"/>
            <w:shd w:val="clear" w:color="auto" w:fill="FFFFFF"/>
            <w:tcMar>
              <w:top w:w="0" w:type="dxa"/>
              <w:right w:w="0" w:type="dxa"/>
            </w:tcMar>
            <w:vAlign w:val="center"/>
          </w:tcPr>
          <w:p w14:paraId="34F2C061">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不少于1年</w:t>
            </w:r>
          </w:p>
        </w:tc>
      </w:tr>
      <w:permEnd w:id="4"/>
    </w:tbl>
    <w:p w14:paraId="6D966B24">
      <w:pPr>
        <w:pStyle w:val="18"/>
        <w:widowControl/>
        <w:numPr>
          <w:ilvl w:val="0"/>
          <w:numId w:val="1"/>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技术要求</w:t>
      </w:r>
    </w:p>
    <w:p w14:paraId="773DE805">
      <w:pPr>
        <w:pStyle w:val="23"/>
        <w:numPr>
          <w:ilvl w:val="0"/>
          <w:numId w:val="0"/>
        </w:numPr>
        <w:ind w:left="0" w:leftChars="0" w:firstLine="0" w:firstLineChars="0"/>
        <w:rPr>
          <w:rFonts w:hint="default" w:ascii="宋体" w:hAnsi="宋体" w:cs="宋体"/>
          <w:b/>
          <w:bCs/>
          <w:color w:val="auto"/>
          <w:kern w:val="28"/>
          <w:sz w:val="24"/>
          <w:szCs w:val="24"/>
          <w:highlight w:val="none"/>
          <w:vertAlign w:val="baseline"/>
          <w:lang w:val="en-US" w:eastAsia="zh-CN"/>
        </w:rPr>
      </w:pPr>
      <w:r>
        <w:rPr>
          <w:rFonts w:hint="eastAsia" w:ascii="宋体" w:hAnsi="宋体" w:eastAsia="宋体" w:cs="宋体"/>
          <w:b/>
          <w:bCs/>
          <w:color w:val="auto"/>
          <w:spacing w:val="10"/>
          <w:kern w:val="28"/>
          <w:sz w:val="24"/>
          <w:szCs w:val="24"/>
          <w:highlight w:val="none"/>
          <w:vertAlign w:val="baseline"/>
          <w:lang w:val="en-US" w:eastAsia="zh-CN" w:bidi="ar-SA"/>
        </w:rPr>
        <w:t>（</w:t>
      </w:r>
      <w:r>
        <w:rPr>
          <w:rFonts w:hint="eastAsia" w:ascii="宋体" w:hAnsi="宋体" w:cs="宋体"/>
          <w:b/>
          <w:bCs/>
          <w:color w:val="auto"/>
          <w:spacing w:val="10"/>
          <w:kern w:val="28"/>
          <w:sz w:val="24"/>
          <w:szCs w:val="24"/>
          <w:highlight w:val="none"/>
          <w:vertAlign w:val="baseline"/>
          <w:lang w:val="en-US" w:eastAsia="zh-CN" w:bidi="ar-SA"/>
        </w:rPr>
        <w:t>一</w:t>
      </w:r>
      <w:r>
        <w:rPr>
          <w:rFonts w:hint="eastAsia" w:ascii="宋体" w:hAnsi="宋体" w:eastAsia="宋体" w:cs="宋体"/>
          <w:b/>
          <w:bCs/>
          <w:color w:val="auto"/>
          <w:spacing w:val="10"/>
          <w:kern w:val="28"/>
          <w:sz w:val="24"/>
          <w:szCs w:val="24"/>
          <w:highlight w:val="none"/>
          <w:vertAlign w:val="baseline"/>
          <w:lang w:val="en-US" w:eastAsia="zh-CN" w:bidi="ar-SA"/>
        </w:rPr>
        <w:t>）</w:t>
      </w:r>
      <w:r>
        <w:rPr>
          <w:rFonts w:hint="eastAsia" w:ascii="宋体" w:hAnsi="宋体" w:cs="宋体"/>
          <w:b/>
          <w:bCs/>
          <w:color w:val="auto"/>
          <w:kern w:val="28"/>
          <w:sz w:val="24"/>
          <w:szCs w:val="24"/>
          <w:highlight w:val="none"/>
          <w:vertAlign w:val="baseline"/>
          <w:lang w:val="en-US" w:eastAsia="zh-CN"/>
        </w:rPr>
        <w:t>光固化机A</w:t>
      </w:r>
    </w:p>
    <w:tbl>
      <w:tblPr>
        <w:tblStyle w:val="12"/>
        <w:tblW w:w="90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3"/>
        <w:gridCol w:w="7168"/>
      </w:tblGrid>
      <w:tr w14:paraId="52A78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1873" w:type="dxa"/>
            <w:noWrap w:val="0"/>
            <w:vAlign w:val="center"/>
          </w:tcPr>
          <w:p w14:paraId="2A445EA5">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参数类别</w:t>
            </w:r>
          </w:p>
        </w:tc>
        <w:tc>
          <w:tcPr>
            <w:tcW w:w="7168" w:type="dxa"/>
            <w:noWrap w:val="0"/>
            <w:vAlign w:val="top"/>
          </w:tcPr>
          <w:p w14:paraId="127AD901">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04E3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 w:hRule="atLeast"/>
          <w:jc w:val="center"/>
        </w:trPr>
        <w:tc>
          <w:tcPr>
            <w:tcW w:w="1873" w:type="dxa"/>
            <w:noWrap w:val="0"/>
            <w:vAlign w:val="center"/>
          </w:tcPr>
          <w:p w14:paraId="56FD1100">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主机部分</w:t>
            </w:r>
          </w:p>
        </w:tc>
        <w:tc>
          <w:tcPr>
            <w:tcW w:w="7168" w:type="dxa"/>
            <w:noWrap w:val="0"/>
            <w:vAlign w:val="top"/>
          </w:tcPr>
          <w:p w14:paraId="2E411E96">
            <w:pPr>
              <w:pStyle w:val="24"/>
              <w:numPr>
                <w:ilvl w:val="0"/>
                <w:numId w:val="0"/>
              </w:numPr>
              <w:rPr>
                <w:rFonts w:hint="eastAsia"/>
                <w:sz w:val="21"/>
                <w:highlight w:val="none"/>
                <w:lang w:val="en-US" w:eastAsia="zh-CN"/>
              </w:rPr>
            </w:pPr>
            <w:r>
              <w:rPr>
                <w:rFonts w:hint="eastAsia"/>
                <w:sz w:val="21"/>
                <w:highlight w:val="none"/>
                <w:lang w:val="en-US" w:eastAsia="zh-CN"/>
              </w:rPr>
              <w:t>1、</w:t>
            </w:r>
            <w:r>
              <w:rPr>
                <w:rFonts w:hint="eastAsia" w:ascii="宋体" w:hAnsi="宋体" w:eastAsia="宋体" w:cs="宋体"/>
                <w:kern w:val="0"/>
                <w:szCs w:val="21"/>
                <w:highlight w:val="none"/>
                <w:lang w:val="en-US" w:eastAsia="zh-CN"/>
              </w:rPr>
              <w:t>▲</w:t>
            </w:r>
            <w:r>
              <w:rPr>
                <w:rFonts w:hint="eastAsia"/>
                <w:sz w:val="21"/>
                <w:highlight w:val="none"/>
                <w:lang w:val="en-US" w:eastAsia="zh-CN"/>
              </w:rPr>
              <w:t>采用高耐用性材质，保护并且延长部件的使用寿命；</w:t>
            </w:r>
          </w:p>
          <w:p w14:paraId="23816813">
            <w:pPr>
              <w:pStyle w:val="24"/>
              <w:numPr>
                <w:ilvl w:val="0"/>
                <w:numId w:val="2"/>
              </w:numPr>
              <w:rPr>
                <w:rFonts w:hint="default"/>
                <w:sz w:val="21"/>
                <w:highlight w:val="none"/>
                <w:lang w:val="en-US" w:eastAsia="zh-CN"/>
              </w:rPr>
            </w:pPr>
            <w:r>
              <w:rPr>
                <w:rFonts w:hint="eastAsia"/>
                <w:sz w:val="21"/>
                <w:highlight w:val="none"/>
                <w:lang w:val="en-US" w:eastAsia="zh-CN"/>
              </w:rPr>
              <w:t>具有低电量指示功能。</w:t>
            </w:r>
            <w:r>
              <w:rPr>
                <w:rFonts w:hint="eastAsia" w:ascii="宋体" w:hAnsi="宋体" w:cs="宋体"/>
                <w:b/>
                <w:bCs/>
                <w:color w:val="auto"/>
                <w:sz w:val="21"/>
                <w:szCs w:val="21"/>
                <w:highlight w:val="none"/>
                <w:lang w:val="en-US" w:eastAsia="zh-CN"/>
              </w:rPr>
              <w:t xml:space="preserve"> </w:t>
            </w:r>
          </w:p>
          <w:p w14:paraId="20CDCEF7">
            <w:pPr>
              <w:pStyle w:val="24"/>
              <w:numPr>
                <w:ilvl w:val="0"/>
                <w:numId w:val="2"/>
              </w:numPr>
              <w:rPr>
                <w:rFonts w:hint="default"/>
                <w:sz w:val="21"/>
                <w:highlight w:val="none"/>
                <w:lang w:val="en-US" w:eastAsia="zh-CN"/>
              </w:rPr>
            </w:pPr>
            <w:r>
              <w:rPr>
                <w:rFonts w:hint="eastAsia"/>
                <w:sz w:val="21"/>
                <w:highlight w:val="none"/>
                <w:lang w:eastAsia="zh-CN"/>
              </w:rPr>
              <w:t>光强输出波长范围</w:t>
            </w:r>
            <w:r>
              <w:rPr>
                <w:rFonts w:hint="eastAsia"/>
                <w:sz w:val="21"/>
                <w:highlight w:val="none"/>
                <w:lang w:val="en-US" w:eastAsia="zh-CN"/>
              </w:rPr>
              <w:t>至少满足：450</w:t>
            </w:r>
            <w:r>
              <w:rPr>
                <w:rFonts w:hint="eastAsia"/>
                <w:sz w:val="21"/>
                <w:highlight w:val="none"/>
                <w:lang w:eastAsia="zh-CN"/>
              </w:rPr>
              <w:t>nm</w:t>
            </w:r>
            <w:r>
              <w:rPr>
                <w:rFonts w:hint="eastAsia"/>
                <w:sz w:val="21"/>
                <w:highlight w:val="none"/>
                <w:lang w:val="en-US" w:eastAsia="zh-CN"/>
              </w:rPr>
              <w:t>至470</w:t>
            </w:r>
            <w:r>
              <w:rPr>
                <w:rFonts w:hint="eastAsia"/>
                <w:sz w:val="21"/>
                <w:highlight w:val="none"/>
                <w:lang w:eastAsia="zh-CN"/>
              </w:rPr>
              <w:t>nm，可聚合绝大部分牙科光固化材料。</w:t>
            </w:r>
          </w:p>
          <w:p w14:paraId="12D85CD9">
            <w:pPr>
              <w:pStyle w:val="24"/>
              <w:numPr>
                <w:ilvl w:val="0"/>
                <w:numId w:val="2"/>
              </w:numPr>
              <w:ind w:left="0" w:leftChars="0" w:firstLine="0" w:firstLineChars="0"/>
              <w:rPr>
                <w:rFonts w:hint="eastAsia" w:eastAsia="宋体"/>
                <w:sz w:val="21"/>
                <w:highlight w:val="none"/>
                <w:lang w:val="en-US" w:eastAsia="zh-CN"/>
              </w:rPr>
            </w:pPr>
            <w:r>
              <w:rPr>
                <w:rFonts w:hint="eastAsia"/>
                <w:sz w:val="21"/>
                <w:highlight w:val="none"/>
                <w:lang w:eastAsia="zh-CN"/>
              </w:rPr>
              <w:t>输出光照强度范围</w:t>
            </w:r>
            <w:r>
              <w:rPr>
                <w:rFonts w:hint="eastAsia"/>
                <w:sz w:val="21"/>
                <w:highlight w:val="none"/>
                <w:lang w:val="en-US" w:eastAsia="zh-CN"/>
              </w:rPr>
              <w:t>至少满足：</w:t>
            </w:r>
            <w:r>
              <w:rPr>
                <w:rFonts w:hint="eastAsia"/>
                <w:sz w:val="21"/>
                <w:highlight w:val="none"/>
                <w:lang w:eastAsia="zh-CN"/>
              </w:rPr>
              <w:t>1100 mW/cm</w:t>
            </w:r>
            <w:r>
              <w:rPr>
                <w:rFonts w:hint="eastAsia"/>
                <w:sz w:val="21"/>
                <w:highlight w:val="none"/>
                <w:vertAlign w:val="superscript"/>
                <w:lang w:val="en-US" w:eastAsia="zh-CN"/>
              </w:rPr>
              <w:t>2</w:t>
            </w:r>
            <w:r>
              <w:rPr>
                <w:rFonts w:hint="eastAsia"/>
                <w:sz w:val="21"/>
                <w:highlight w:val="none"/>
                <w:lang w:val="en-US" w:eastAsia="zh-CN"/>
              </w:rPr>
              <w:t>至</w:t>
            </w:r>
            <w:r>
              <w:rPr>
                <w:rFonts w:hint="eastAsia"/>
                <w:sz w:val="21"/>
                <w:highlight w:val="none"/>
                <w:lang w:eastAsia="zh-CN"/>
              </w:rPr>
              <w:t>1330mW/cm</w:t>
            </w:r>
            <w:r>
              <w:rPr>
                <w:rFonts w:hint="eastAsia"/>
                <w:sz w:val="21"/>
                <w:highlight w:val="none"/>
                <w:vertAlign w:val="superscript"/>
                <w:lang w:val="en-US" w:eastAsia="zh-CN"/>
              </w:rPr>
              <w:t>2</w:t>
            </w:r>
            <w:r>
              <w:rPr>
                <w:rFonts w:hint="eastAsia" w:eastAsia="宋体"/>
                <w:sz w:val="21"/>
                <w:highlight w:val="none"/>
                <w:lang w:val="en-US" w:eastAsia="zh-CN"/>
              </w:rPr>
              <w:t>。</w:t>
            </w:r>
          </w:p>
          <w:p w14:paraId="219DBC19">
            <w:pPr>
              <w:pStyle w:val="24"/>
              <w:numPr>
                <w:ilvl w:val="0"/>
                <w:numId w:val="2"/>
              </w:numPr>
              <w:ind w:left="0" w:leftChars="0" w:firstLine="0" w:firstLineChars="0"/>
              <w:rPr>
                <w:rFonts w:hint="default" w:eastAsia="宋体"/>
                <w:sz w:val="21"/>
                <w:highlight w:val="none"/>
                <w:lang w:val="en-US" w:eastAsia="zh-CN"/>
              </w:rPr>
            </w:pPr>
            <w:r>
              <w:rPr>
                <w:rFonts w:hint="eastAsia"/>
                <w:sz w:val="21"/>
                <w:highlight w:val="none"/>
                <w:lang w:val="en-US" w:eastAsia="zh-CN"/>
              </w:rPr>
              <w:t>具有时间模式</w:t>
            </w:r>
            <w:r>
              <w:rPr>
                <w:rFonts w:hint="eastAsia"/>
                <w:sz w:val="21"/>
                <w:highlight w:val="none"/>
              </w:rPr>
              <w:t>≥</w:t>
            </w:r>
            <w:r>
              <w:rPr>
                <w:rFonts w:hint="eastAsia"/>
                <w:sz w:val="21"/>
                <w:highlight w:val="none"/>
                <w:lang w:val="en-US" w:eastAsia="zh-CN"/>
              </w:rPr>
              <w:t>3种。</w:t>
            </w:r>
          </w:p>
        </w:tc>
      </w:tr>
      <w:tr w14:paraId="13CD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873" w:type="dxa"/>
            <w:noWrap w:val="0"/>
            <w:vAlign w:val="center"/>
          </w:tcPr>
          <w:p w14:paraId="2C84500A">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灯头部分</w:t>
            </w:r>
          </w:p>
        </w:tc>
        <w:tc>
          <w:tcPr>
            <w:tcW w:w="7168" w:type="dxa"/>
            <w:noWrap w:val="0"/>
            <w:vAlign w:val="top"/>
          </w:tcPr>
          <w:p w14:paraId="2F97455B">
            <w:pPr>
              <w:pStyle w:val="24"/>
              <w:rPr>
                <w:rFonts w:hint="eastAsia"/>
                <w:sz w:val="21"/>
                <w:highlight w:val="none"/>
                <w:lang w:eastAsia="zh-CN"/>
              </w:rPr>
            </w:pPr>
            <w:r>
              <w:rPr>
                <w:rFonts w:hint="eastAsia"/>
                <w:sz w:val="21"/>
                <w:highlight w:val="none"/>
                <w:lang w:val="en-US" w:eastAsia="zh-CN"/>
              </w:rPr>
              <w:t>1、</w:t>
            </w:r>
            <w:r>
              <w:rPr>
                <w:rFonts w:hint="eastAsia" w:ascii="宋体" w:hAnsi="宋体" w:eastAsia="宋体" w:cs="宋体"/>
                <w:kern w:val="0"/>
                <w:szCs w:val="21"/>
                <w:highlight w:val="none"/>
                <w:lang w:val="en-US" w:eastAsia="zh-CN"/>
              </w:rPr>
              <w:t>▲</w:t>
            </w:r>
            <w:r>
              <w:rPr>
                <w:rFonts w:hint="eastAsia"/>
                <w:sz w:val="21"/>
                <w:highlight w:val="none"/>
                <w:lang w:val="en-US" w:eastAsia="zh-CN"/>
              </w:rPr>
              <w:t>机头厚度</w:t>
            </w:r>
            <w:r>
              <w:rPr>
                <w:rFonts w:hint="eastAsia"/>
                <w:sz w:val="21"/>
                <w:highlight w:val="none"/>
              </w:rPr>
              <w:t>≤</w:t>
            </w:r>
            <w:r>
              <w:rPr>
                <w:rFonts w:hint="eastAsia"/>
                <w:sz w:val="21"/>
                <w:highlight w:val="none"/>
                <w:lang w:val="en-US" w:eastAsia="zh-CN"/>
              </w:rPr>
              <w:t>8</w:t>
            </w:r>
            <w:r>
              <w:rPr>
                <w:rFonts w:hint="eastAsia"/>
                <w:sz w:val="21"/>
                <w:highlight w:val="none"/>
                <w:lang w:eastAsia="zh-CN"/>
              </w:rPr>
              <w:t>mm。</w:t>
            </w:r>
          </w:p>
          <w:p w14:paraId="50D5B6A6">
            <w:pPr>
              <w:pStyle w:val="24"/>
              <w:rPr>
                <w:rFonts w:hint="eastAsia"/>
                <w:sz w:val="21"/>
                <w:highlight w:val="none"/>
                <w:lang w:eastAsia="zh-CN"/>
              </w:rPr>
            </w:pPr>
            <w:r>
              <w:rPr>
                <w:rFonts w:hint="eastAsia"/>
                <w:sz w:val="21"/>
                <w:highlight w:val="none"/>
                <w:lang w:val="en-US" w:eastAsia="zh-CN"/>
              </w:rPr>
              <w:t>2、</w:t>
            </w:r>
            <w:r>
              <w:rPr>
                <w:rFonts w:hint="eastAsia" w:ascii="宋体" w:hAnsi="宋体" w:eastAsia="宋体" w:cs="宋体"/>
                <w:kern w:val="0"/>
                <w:szCs w:val="21"/>
                <w:highlight w:val="none"/>
                <w:lang w:val="en-US" w:eastAsia="zh-CN"/>
              </w:rPr>
              <w:t>▲</w:t>
            </w:r>
            <w:r>
              <w:rPr>
                <w:rFonts w:hint="eastAsia"/>
                <w:sz w:val="21"/>
                <w:highlight w:val="none"/>
                <w:lang w:val="en-US" w:eastAsia="zh-CN"/>
              </w:rPr>
              <w:t>能够满足</w:t>
            </w:r>
            <w:r>
              <w:rPr>
                <w:rFonts w:hint="eastAsia"/>
                <w:sz w:val="21"/>
                <w:highlight w:val="none"/>
                <w:lang w:eastAsia="zh-CN"/>
              </w:rPr>
              <w:t>5秒</w:t>
            </w:r>
            <w:r>
              <w:rPr>
                <w:rFonts w:hint="eastAsia"/>
                <w:sz w:val="21"/>
                <w:highlight w:val="none"/>
                <w:lang w:val="en-US" w:eastAsia="zh-CN"/>
              </w:rPr>
              <w:t>内</w:t>
            </w:r>
            <w:r>
              <w:rPr>
                <w:rFonts w:hint="eastAsia"/>
                <w:sz w:val="21"/>
                <w:highlight w:val="none"/>
                <w:lang w:eastAsia="zh-CN"/>
              </w:rPr>
              <w:t>完成A3及</w:t>
            </w:r>
            <w:r>
              <w:rPr>
                <w:rFonts w:hint="eastAsia"/>
                <w:sz w:val="21"/>
                <w:highlight w:val="none"/>
                <w:lang w:val="en-US" w:eastAsia="zh-CN"/>
              </w:rPr>
              <w:t>更</w:t>
            </w:r>
            <w:r>
              <w:rPr>
                <w:rFonts w:hint="eastAsia"/>
                <w:sz w:val="21"/>
                <w:highlight w:val="none"/>
                <w:lang w:eastAsia="zh-CN"/>
              </w:rPr>
              <w:t>浅色树脂</w:t>
            </w:r>
            <w:r>
              <w:rPr>
                <w:rFonts w:hint="eastAsia"/>
                <w:sz w:val="21"/>
                <w:highlight w:val="none"/>
                <w:lang w:val="en-US" w:eastAsia="zh-CN"/>
              </w:rPr>
              <w:t>的</w:t>
            </w:r>
            <w:r>
              <w:rPr>
                <w:rFonts w:hint="eastAsia"/>
                <w:sz w:val="21"/>
                <w:highlight w:val="none"/>
                <w:lang w:eastAsia="zh-CN"/>
              </w:rPr>
              <w:t>固化；</w:t>
            </w:r>
          </w:p>
          <w:p w14:paraId="1628B878">
            <w:pPr>
              <w:pStyle w:val="24"/>
              <w:rPr>
                <w:rFonts w:hint="eastAsia"/>
                <w:sz w:val="21"/>
                <w:highlight w:val="none"/>
                <w:lang w:eastAsia="zh-CN"/>
              </w:rPr>
            </w:pPr>
            <w:r>
              <w:rPr>
                <w:rFonts w:hint="eastAsia"/>
                <w:sz w:val="21"/>
                <w:highlight w:val="none"/>
                <w:lang w:val="en-US" w:eastAsia="zh-CN"/>
              </w:rPr>
              <w:t>3、能够</w:t>
            </w:r>
            <w:r>
              <w:rPr>
                <w:rFonts w:hint="eastAsia"/>
                <w:sz w:val="21"/>
                <w:highlight w:val="none"/>
                <w:lang w:eastAsia="zh-CN"/>
              </w:rPr>
              <w:t>充分聚合深层树脂，边缘均匀；</w:t>
            </w:r>
          </w:p>
          <w:p w14:paraId="4FD7FDE2">
            <w:pPr>
              <w:pStyle w:val="24"/>
              <w:rPr>
                <w:rFonts w:hint="default"/>
                <w:sz w:val="21"/>
                <w:highlight w:val="none"/>
                <w:lang w:val="en-US" w:eastAsia="zh-CN"/>
              </w:rPr>
            </w:pPr>
            <w:r>
              <w:rPr>
                <w:rFonts w:hint="eastAsia"/>
                <w:sz w:val="21"/>
                <w:highlight w:val="none"/>
                <w:lang w:val="en-US" w:eastAsia="zh-CN"/>
              </w:rPr>
              <w:t>4、</w:t>
            </w:r>
            <w:r>
              <w:rPr>
                <w:rFonts w:hint="eastAsia"/>
                <w:sz w:val="21"/>
                <w:highlight w:val="none"/>
                <w:lang w:eastAsia="zh-CN"/>
              </w:rPr>
              <w:t>温度控制系统：</w:t>
            </w:r>
            <w:r>
              <w:rPr>
                <w:rFonts w:hint="eastAsia"/>
                <w:sz w:val="21"/>
                <w:highlight w:val="none"/>
                <w:lang w:val="en-US" w:eastAsia="zh-CN"/>
              </w:rPr>
              <w:t>能够实现</w:t>
            </w:r>
            <w:r>
              <w:rPr>
                <w:rFonts w:hint="eastAsia"/>
                <w:sz w:val="21"/>
                <w:highlight w:val="none"/>
                <w:lang w:eastAsia="zh-CN"/>
              </w:rPr>
              <w:t>动态热管理，温升低。确保低温和持续的高输出质量，避免牙髓组织过热产生的风险。</w:t>
            </w:r>
          </w:p>
        </w:tc>
      </w:tr>
      <w:tr w14:paraId="1DC6E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2" w:hRule="atLeast"/>
          <w:jc w:val="center"/>
        </w:trPr>
        <w:tc>
          <w:tcPr>
            <w:tcW w:w="1873" w:type="dxa"/>
            <w:noWrap w:val="0"/>
            <w:vAlign w:val="center"/>
          </w:tcPr>
          <w:p w14:paraId="0EF1FFC3">
            <w:pPr>
              <w:pStyle w:val="24"/>
              <w:keepNext w:val="0"/>
              <w:keepLines w:val="0"/>
              <w:pageBreakBefore w:val="0"/>
              <w:kinsoku/>
              <w:wordWrap/>
              <w:overflowPunct/>
              <w:topLinePunct w:val="0"/>
              <w:autoSpaceDE/>
              <w:autoSpaceDN/>
              <w:bidi w:val="0"/>
              <w:adjustRightInd/>
              <w:snapToGrid/>
              <w:jc w:val="center"/>
              <w:textAlignment w:val="auto"/>
              <w:rPr>
                <w:rFonts w:hint="eastAsia"/>
                <w:color w:val="auto"/>
                <w:sz w:val="21"/>
                <w:highlight w:val="none"/>
                <w:lang w:val="en-US" w:eastAsia="zh-CN"/>
              </w:rPr>
            </w:pPr>
            <w:r>
              <w:rPr>
                <w:rFonts w:hint="eastAsia"/>
                <w:color w:val="auto"/>
                <w:sz w:val="21"/>
                <w:highlight w:val="none"/>
                <w:lang w:val="en-US" w:eastAsia="zh-CN"/>
              </w:rPr>
              <w:t>配置要求</w:t>
            </w:r>
          </w:p>
          <w:p w14:paraId="080337D2">
            <w:pPr>
              <w:pStyle w:val="24"/>
              <w:keepNext w:val="0"/>
              <w:keepLines w:val="0"/>
              <w:pageBreakBefore w:val="0"/>
              <w:kinsoku/>
              <w:wordWrap/>
              <w:overflowPunct/>
              <w:topLinePunct w:val="0"/>
              <w:autoSpaceDE/>
              <w:autoSpaceDN/>
              <w:bidi w:val="0"/>
              <w:adjustRightInd/>
              <w:snapToGrid/>
              <w:jc w:val="center"/>
              <w:textAlignment w:val="auto"/>
              <w:rPr>
                <w:rFonts w:hint="default"/>
                <w:color w:val="auto"/>
                <w:sz w:val="21"/>
                <w:highlight w:val="none"/>
                <w:lang w:val="en-US" w:eastAsia="zh-CN"/>
              </w:rPr>
            </w:pPr>
            <w:r>
              <w:rPr>
                <w:rFonts w:hint="eastAsia" w:ascii="宋体" w:hAnsi="宋体" w:eastAsia="宋体" w:cs="宋体"/>
                <w:color w:val="auto"/>
                <w:sz w:val="21"/>
                <w:szCs w:val="21"/>
                <w:highlight w:val="none"/>
                <w:lang w:eastAsia="zh-CN"/>
              </w:rPr>
              <w:t>（</w:t>
            </w:r>
            <w:r>
              <w:rPr>
                <w:rFonts w:hint="eastAsia"/>
                <w:color w:val="auto"/>
                <w:sz w:val="21"/>
                <w:highlight w:val="none"/>
                <w:lang w:eastAsia="zh-CN"/>
              </w:rPr>
              <w:t>每台</w:t>
            </w:r>
            <w:r>
              <w:rPr>
                <w:rFonts w:hint="eastAsia" w:ascii="宋体" w:hAnsi="宋体" w:cs="宋体"/>
                <w:color w:val="auto"/>
                <w:sz w:val="21"/>
                <w:szCs w:val="21"/>
                <w:highlight w:val="none"/>
                <w:lang w:eastAsia="zh-CN"/>
              </w:rPr>
              <w:t>设备的配置不低于以下要求</w:t>
            </w:r>
            <w:r>
              <w:rPr>
                <w:rFonts w:hint="eastAsia" w:ascii="宋体" w:hAnsi="宋体" w:eastAsia="宋体" w:cs="宋体"/>
                <w:color w:val="auto"/>
                <w:sz w:val="21"/>
                <w:szCs w:val="21"/>
                <w:highlight w:val="none"/>
                <w:lang w:eastAsia="zh-CN"/>
              </w:rPr>
              <w:t>）</w:t>
            </w:r>
          </w:p>
        </w:tc>
        <w:tc>
          <w:tcPr>
            <w:tcW w:w="7168" w:type="dxa"/>
            <w:noWrap w:val="0"/>
            <w:vAlign w:val="top"/>
          </w:tcPr>
          <w:tbl>
            <w:tblPr>
              <w:tblStyle w:val="12"/>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53"/>
              <w:gridCol w:w="3915"/>
            </w:tblGrid>
            <w:tr w14:paraId="608C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1" w:type="dxa"/>
                  <w:noWrap w:val="0"/>
                  <w:tcMar>
                    <w:top w:w="0" w:type="dxa"/>
                    <w:left w:w="105" w:type="dxa"/>
                    <w:bottom w:w="0" w:type="dxa"/>
                    <w:right w:w="105" w:type="dxa"/>
                  </w:tcMar>
                  <w:vAlign w:val="top"/>
                </w:tcPr>
                <w:p w14:paraId="6A0CE842">
                  <w:pPr>
                    <w:pStyle w:val="24"/>
                    <w:jc w:val="center"/>
                    <w:rPr>
                      <w:color w:val="auto"/>
                      <w:highlight w:val="none"/>
                    </w:rPr>
                  </w:pPr>
                  <w:r>
                    <w:rPr>
                      <w:color w:val="auto"/>
                      <w:sz w:val="21"/>
                      <w:highlight w:val="none"/>
                    </w:rPr>
                    <w:t>序号</w:t>
                  </w:r>
                </w:p>
              </w:tc>
              <w:tc>
                <w:tcPr>
                  <w:tcW w:w="2053" w:type="dxa"/>
                  <w:noWrap w:val="0"/>
                  <w:tcMar>
                    <w:top w:w="0" w:type="dxa"/>
                    <w:left w:w="105" w:type="dxa"/>
                    <w:bottom w:w="0" w:type="dxa"/>
                    <w:right w:w="105" w:type="dxa"/>
                  </w:tcMar>
                  <w:vAlign w:val="top"/>
                </w:tcPr>
                <w:p w14:paraId="78E48A32">
                  <w:pPr>
                    <w:pStyle w:val="24"/>
                    <w:jc w:val="center"/>
                    <w:rPr>
                      <w:color w:val="auto"/>
                      <w:highlight w:val="none"/>
                    </w:rPr>
                  </w:pPr>
                  <w:r>
                    <w:rPr>
                      <w:color w:val="auto"/>
                      <w:sz w:val="21"/>
                      <w:highlight w:val="none"/>
                    </w:rPr>
                    <w:t>配置内容</w:t>
                  </w:r>
                </w:p>
              </w:tc>
              <w:tc>
                <w:tcPr>
                  <w:tcW w:w="3915" w:type="dxa"/>
                  <w:noWrap w:val="0"/>
                  <w:tcMar>
                    <w:top w:w="0" w:type="dxa"/>
                    <w:left w:w="105" w:type="dxa"/>
                    <w:bottom w:w="0" w:type="dxa"/>
                    <w:right w:w="105" w:type="dxa"/>
                  </w:tcMar>
                  <w:vAlign w:val="top"/>
                </w:tcPr>
                <w:p w14:paraId="4FFBDEAE">
                  <w:pPr>
                    <w:pStyle w:val="24"/>
                    <w:jc w:val="center"/>
                    <w:rPr>
                      <w:color w:val="auto"/>
                      <w:highlight w:val="none"/>
                    </w:rPr>
                  </w:pPr>
                  <w:r>
                    <w:rPr>
                      <w:color w:val="auto"/>
                      <w:sz w:val="21"/>
                      <w:highlight w:val="none"/>
                    </w:rPr>
                    <w:t>数量</w:t>
                  </w:r>
                </w:p>
              </w:tc>
            </w:tr>
            <w:tr w14:paraId="1E9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3670A609">
                  <w:pPr>
                    <w:pStyle w:val="24"/>
                    <w:jc w:val="center"/>
                    <w:rPr>
                      <w:color w:val="auto"/>
                      <w:highlight w:val="none"/>
                    </w:rPr>
                  </w:pPr>
                  <w:r>
                    <w:rPr>
                      <w:color w:val="auto"/>
                      <w:sz w:val="21"/>
                      <w:highlight w:val="none"/>
                    </w:rPr>
                    <w:t>1</w:t>
                  </w:r>
                </w:p>
              </w:tc>
              <w:tc>
                <w:tcPr>
                  <w:tcW w:w="2053" w:type="dxa"/>
                  <w:shd w:val="clear" w:color="auto" w:fill="auto"/>
                  <w:noWrap w:val="0"/>
                  <w:tcMar>
                    <w:top w:w="0" w:type="dxa"/>
                    <w:left w:w="105" w:type="dxa"/>
                    <w:bottom w:w="0" w:type="dxa"/>
                    <w:right w:w="105" w:type="dxa"/>
                  </w:tcMar>
                  <w:vAlign w:val="top"/>
                </w:tcPr>
                <w:p w14:paraId="2EF6104F">
                  <w:pPr>
                    <w:pStyle w:val="24"/>
                    <w:jc w:val="center"/>
                    <w:rPr>
                      <w:rFonts w:hint="eastAsia" w:ascii="Calibri" w:hAnsi="Calibri" w:eastAsia="宋体" w:cs="Times New Roman"/>
                      <w:highlight w:val="none"/>
                      <w:lang w:val="en-US" w:eastAsia="zh-CN"/>
                    </w:rPr>
                  </w:pPr>
                  <w:r>
                    <w:rPr>
                      <w:rFonts w:hint="eastAsia"/>
                      <w:sz w:val="21"/>
                      <w:highlight w:val="none"/>
                      <w:lang w:eastAsia="zh-CN"/>
                    </w:rPr>
                    <w:t>主机</w:t>
                  </w:r>
                </w:p>
              </w:tc>
              <w:tc>
                <w:tcPr>
                  <w:tcW w:w="3915" w:type="dxa"/>
                  <w:noWrap w:val="0"/>
                  <w:tcMar>
                    <w:top w:w="0" w:type="dxa"/>
                    <w:left w:w="105" w:type="dxa"/>
                    <w:bottom w:w="0" w:type="dxa"/>
                    <w:right w:w="105" w:type="dxa"/>
                  </w:tcMar>
                  <w:vAlign w:val="top"/>
                </w:tcPr>
                <w:p w14:paraId="00D6F088">
                  <w:pPr>
                    <w:pStyle w:val="24"/>
                    <w:jc w:val="center"/>
                    <w:rPr>
                      <w:rFonts w:hint="eastAsia" w:eastAsia="宋体"/>
                      <w:color w:val="auto"/>
                      <w:highlight w:val="none"/>
                      <w:lang w:eastAsia="zh-CN"/>
                    </w:rPr>
                  </w:pPr>
                  <w:r>
                    <w:rPr>
                      <w:color w:val="auto"/>
                      <w:sz w:val="21"/>
                      <w:highlight w:val="none"/>
                    </w:rPr>
                    <w:t>1</w:t>
                  </w:r>
                  <w:r>
                    <w:rPr>
                      <w:rFonts w:hint="eastAsia"/>
                      <w:color w:val="auto"/>
                      <w:sz w:val="21"/>
                      <w:highlight w:val="none"/>
                      <w:lang w:eastAsia="zh-CN"/>
                    </w:rPr>
                    <w:t>个</w:t>
                  </w:r>
                </w:p>
              </w:tc>
            </w:tr>
            <w:tr w14:paraId="1429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67B1194E">
                  <w:pPr>
                    <w:pStyle w:val="24"/>
                    <w:jc w:val="center"/>
                    <w:rPr>
                      <w:color w:val="auto"/>
                      <w:highlight w:val="none"/>
                    </w:rPr>
                  </w:pPr>
                  <w:r>
                    <w:rPr>
                      <w:color w:val="auto"/>
                      <w:sz w:val="21"/>
                      <w:highlight w:val="none"/>
                    </w:rPr>
                    <w:t>2</w:t>
                  </w:r>
                </w:p>
              </w:tc>
              <w:tc>
                <w:tcPr>
                  <w:tcW w:w="2053" w:type="dxa"/>
                  <w:shd w:val="clear" w:color="auto" w:fill="auto"/>
                  <w:noWrap w:val="0"/>
                  <w:tcMar>
                    <w:top w:w="0" w:type="dxa"/>
                    <w:left w:w="105" w:type="dxa"/>
                    <w:bottom w:w="0" w:type="dxa"/>
                    <w:right w:w="105" w:type="dxa"/>
                  </w:tcMar>
                  <w:vAlign w:val="top"/>
                </w:tcPr>
                <w:p w14:paraId="716DE0C9">
                  <w:pPr>
                    <w:pStyle w:val="24"/>
                    <w:jc w:val="center"/>
                    <w:rPr>
                      <w:rFonts w:hint="eastAsia" w:ascii="Calibri" w:hAnsi="Calibri" w:eastAsia="宋体" w:cs="Times New Roman"/>
                      <w:highlight w:val="none"/>
                      <w:lang w:val="en-US" w:eastAsia="zh-CN"/>
                    </w:rPr>
                  </w:pPr>
                  <w:r>
                    <w:rPr>
                      <w:rFonts w:hint="eastAsia"/>
                      <w:sz w:val="21"/>
                      <w:highlight w:val="none"/>
                      <w:lang w:eastAsia="zh-CN"/>
                    </w:rPr>
                    <w:t>灯头</w:t>
                  </w:r>
                </w:p>
              </w:tc>
              <w:tc>
                <w:tcPr>
                  <w:tcW w:w="3915" w:type="dxa"/>
                  <w:noWrap w:val="0"/>
                  <w:tcMar>
                    <w:top w:w="0" w:type="dxa"/>
                    <w:left w:w="105" w:type="dxa"/>
                    <w:bottom w:w="0" w:type="dxa"/>
                    <w:right w:w="105" w:type="dxa"/>
                  </w:tcMar>
                  <w:vAlign w:val="top"/>
                </w:tcPr>
                <w:p w14:paraId="22EDA416">
                  <w:pPr>
                    <w:pStyle w:val="24"/>
                    <w:jc w:val="center"/>
                    <w:rPr>
                      <w:rFonts w:hint="eastAsia" w:eastAsia="宋体"/>
                      <w:color w:val="auto"/>
                      <w:highlight w:val="none"/>
                      <w:lang w:eastAsia="zh-CN"/>
                    </w:rPr>
                  </w:pPr>
                  <w:r>
                    <w:rPr>
                      <w:rFonts w:hint="eastAsia"/>
                      <w:color w:val="auto"/>
                      <w:sz w:val="21"/>
                      <w:highlight w:val="none"/>
                      <w:lang w:val="en-US" w:eastAsia="zh-CN"/>
                    </w:rPr>
                    <w:t>1个</w:t>
                  </w:r>
                </w:p>
              </w:tc>
            </w:tr>
            <w:tr w14:paraId="03E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3EA28B55">
                  <w:pPr>
                    <w:pStyle w:val="24"/>
                    <w:jc w:val="center"/>
                    <w:rPr>
                      <w:color w:val="auto"/>
                      <w:highlight w:val="none"/>
                    </w:rPr>
                  </w:pPr>
                  <w:r>
                    <w:rPr>
                      <w:color w:val="auto"/>
                      <w:sz w:val="21"/>
                      <w:highlight w:val="none"/>
                    </w:rPr>
                    <w:t>3</w:t>
                  </w:r>
                </w:p>
              </w:tc>
              <w:tc>
                <w:tcPr>
                  <w:tcW w:w="2053" w:type="dxa"/>
                  <w:shd w:val="clear" w:color="auto" w:fill="auto"/>
                  <w:noWrap w:val="0"/>
                  <w:tcMar>
                    <w:top w:w="0" w:type="dxa"/>
                    <w:left w:w="105" w:type="dxa"/>
                    <w:bottom w:w="0" w:type="dxa"/>
                    <w:right w:w="105" w:type="dxa"/>
                  </w:tcMar>
                  <w:vAlign w:val="top"/>
                </w:tcPr>
                <w:p w14:paraId="39B284A8">
                  <w:pPr>
                    <w:pStyle w:val="24"/>
                    <w:jc w:val="center"/>
                    <w:rPr>
                      <w:rFonts w:hint="eastAsia" w:ascii="Calibri" w:hAnsi="Calibri" w:eastAsia="宋体" w:cs="Times New Roman"/>
                      <w:highlight w:val="none"/>
                      <w:lang w:val="en-US" w:eastAsia="zh-CN"/>
                    </w:rPr>
                  </w:pPr>
                  <w:r>
                    <w:rPr>
                      <w:rFonts w:hint="eastAsia"/>
                      <w:sz w:val="21"/>
                      <w:highlight w:val="none"/>
                      <w:lang w:eastAsia="zh-CN"/>
                    </w:rPr>
                    <w:t>遮光板</w:t>
                  </w:r>
                </w:p>
              </w:tc>
              <w:tc>
                <w:tcPr>
                  <w:tcW w:w="3915" w:type="dxa"/>
                  <w:noWrap w:val="0"/>
                  <w:tcMar>
                    <w:top w:w="0" w:type="dxa"/>
                    <w:left w:w="105" w:type="dxa"/>
                    <w:bottom w:w="0" w:type="dxa"/>
                    <w:right w:w="105" w:type="dxa"/>
                  </w:tcMar>
                  <w:vAlign w:val="top"/>
                </w:tcPr>
                <w:p w14:paraId="0E8DA150">
                  <w:pPr>
                    <w:pStyle w:val="24"/>
                    <w:jc w:val="center"/>
                    <w:rPr>
                      <w:rFonts w:hint="eastAsia" w:eastAsia="宋体"/>
                      <w:color w:val="auto"/>
                      <w:highlight w:val="none"/>
                      <w:lang w:eastAsia="zh-CN"/>
                    </w:rPr>
                  </w:pPr>
                  <w:r>
                    <w:rPr>
                      <w:rFonts w:hint="eastAsia"/>
                      <w:color w:val="auto"/>
                      <w:sz w:val="21"/>
                      <w:highlight w:val="none"/>
                      <w:lang w:val="en-US" w:eastAsia="zh-CN"/>
                    </w:rPr>
                    <w:t>1个</w:t>
                  </w:r>
                </w:p>
              </w:tc>
            </w:tr>
            <w:tr w14:paraId="440D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51" w:type="dxa"/>
                  <w:noWrap w:val="0"/>
                  <w:tcMar>
                    <w:top w:w="0" w:type="dxa"/>
                    <w:left w:w="105" w:type="dxa"/>
                    <w:bottom w:w="0" w:type="dxa"/>
                    <w:right w:w="105" w:type="dxa"/>
                  </w:tcMar>
                  <w:vAlign w:val="top"/>
                </w:tcPr>
                <w:p w14:paraId="4A380459">
                  <w:pPr>
                    <w:pStyle w:val="24"/>
                    <w:jc w:val="center"/>
                    <w:rPr>
                      <w:rFonts w:hint="eastAsia"/>
                      <w:sz w:val="21"/>
                      <w:highlight w:val="none"/>
                      <w:lang w:val="en-US" w:eastAsia="zh-CN"/>
                    </w:rPr>
                  </w:pPr>
                  <w:r>
                    <w:rPr>
                      <w:rFonts w:hint="eastAsia"/>
                      <w:sz w:val="21"/>
                      <w:highlight w:val="none"/>
                      <w:lang w:val="en-US" w:eastAsia="zh-CN"/>
                    </w:rPr>
                    <w:t>4</w:t>
                  </w:r>
                </w:p>
              </w:tc>
              <w:tc>
                <w:tcPr>
                  <w:tcW w:w="2053" w:type="dxa"/>
                  <w:noWrap w:val="0"/>
                  <w:tcMar>
                    <w:top w:w="0" w:type="dxa"/>
                    <w:left w:w="105" w:type="dxa"/>
                    <w:bottom w:w="0" w:type="dxa"/>
                    <w:right w:w="105" w:type="dxa"/>
                  </w:tcMar>
                  <w:vAlign w:val="top"/>
                </w:tcPr>
                <w:p w14:paraId="2DF7A233">
                  <w:pPr>
                    <w:pStyle w:val="24"/>
                    <w:jc w:val="center"/>
                    <w:rPr>
                      <w:rFonts w:hint="eastAsia"/>
                      <w:sz w:val="21"/>
                      <w:highlight w:val="none"/>
                      <w:lang w:eastAsia="zh-CN"/>
                    </w:rPr>
                  </w:pPr>
                  <w:r>
                    <w:rPr>
                      <w:rFonts w:hint="eastAsia"/>
                      <w:sz w:val="21"/>
                      <w:highlight w:val="none"/>
                      <w:lang w:val="en-US" w:eastAsia="zh-CN"/>
                    </w:rPr>
                    <w:t>充电器</w:t>
                  </w:r>
                </w:p>
              </w:tc>
              <w:tc>
                <w:tcPr>
                  <w:tcW w:w="3915" w:type="dxa"/>
                  <w:noWrap w:val="0"/>
                  <w:tcMar>
                    <w:top w:w="0" w:type="dxa"/>
                    <w:left w:w="105" w:type="dxa"/>
                    <w:bottom w:w="0" w:type="dxa"/>
                    <w:right w:w="105" w:type="dxa"/>
                  </w:tcMar>
                  <w:vAlign w:val="top"/>
                </w:tcPr>
                <w:p w14:paraId="24C0F71F">
                  <w:pPr>
                    <w:pStyle w:val="24"/>
                    <w:jc w:val="center"/>
                    <w:rPr>
                      <w:rFonts w:hint="default"/>
                      <w:sz w:val="21"/>
                      <w:highlight w:val="none"/>
                      <w:lang w:val="en-US" w:eastAsia="zh-CN"/>
                    </w:rPr>
                  </w:pPr>
                  <w:r>
                    <w:rPr>
                      <w:rFonts w:hint="eastAsia"/>
                      <w:sz w:val="21"/>
                      <w:highlight w:val="none"/>
                      <w:lang w:val="en-US" w:eastAsia="zh-CN"/>
                    </w:rPr>
                    <w:t>1个</w:t>
                  </w:r>
                </w:p>
              </w:tc>
            </w:tr>
            <w:tr w14:paraId="5A6F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55F1DA0A">
                  <w:pPr>
                    <w:pStyle w:val="24"/>
                    <w:jc w:val="center"/>
                    <w:rPr>
                      <w:rFonts w:hint="default"/>
                      <w:sz w:val="21"/>
                      <w:highlight w:val="none"/>
                      <w:lang w:val="en-US" w:eastAsia="zh-CN"/>
                    </w:rPr>
                  </w:pPr>
                  <w:r>
                    <w:rPr>
                      <w:rFonts w:hint="eastAsia"/>
                      <w:sz w:val="21"/>
                      <w:highlight w:val="none"/>
                      <w:lang w:val="en-US" w:eastAsia="zh-CN"/>
                    </w:rPr>
                    <w:t>5</w:t>
                  </w:r>
                </w:p>
              </w:tc>
              <w:tc>
                <w:tcPr>
                  <w:tcW w:w="2053" w:type="dxa"/>
                  <w:noWrap w:val="0"/>
                  <w:tcMar>
                    <w:top w:w="0" w:type="dxa"/>
                    <w:left w:w="105" w:type="dxa"/>
                    <w:bottom w:w="0" w:type="dxa"/>
                    <w:right w:w="105" w:type="dxa"/>
                  </w:tcMar>
                  <w:vAlign w:val="top"/>
                </w:tcPr>
                <w:p w14:paraId="17131D64">
                  <w:pPr>
                    <w:pStyle w:val="24"/>
                    <w:jc w:val="center"/>
                    <w:rPr>
                      <w:rFonts w:hint="eastAsia"/>
                      <w:sz w:val="21"/>
                      <w:highlight w:val="none"/>
                      <w:lang w:eastAsia="zh-CN"/>
                    </w:rPr>
                  </w:pPr>
                  <w:r>
                    <w:rPr>
                      <w:rFonts w:hint="eastAsia"/>
                      <w:sz w:val="21"/>
                      <w:highlight w:val="none"/>
                      <w:lang w:eastAsia="zh-CN"/>
                    </w:rPr>
                    <w:t>使用说明书</w:t>
                  </w:r>
                </w:p>
              </w:tc>
              <w:tc>
                <w:tcPr>
                  <w:tcW w:w="3915" w:type="dxa"/>
                  <w:noWrap w:val="0"/>
                  <w:tcMar>
                    <w:top w:w="0" w:type="dxa"/>
                    <w:left w:w="105" w:type="dxa"/>
                    <w:bottom w:w="0" w:type="dxa"/>
                    <w:right w:w="105" w:type="dxa"/>
                  </w:tcMar>
                  <w:vAlign w:val="top"/>
                </w:tcPr>
                <w:p w14:paraId="2E5B6584">
                  <w:pPr>
                    <w:pStyle w:val="24"/>
                    <w:jc w:val="center"/>
                    <w:rPr>
                      <w:rFonts w:hint="default"/>
                      <w:sz w:val="21"/>
                      <w:highlight w:val="none"/>
                      <w:lang w:val="en-US" w:eastAsia="zh-CN"/>
                    </w:rPr>
                  </w:pPr>
                  <w:r>
                    <w:rPr>
                      <w:rFonts w:hint="eastAsia"/>
                      <w:sz w:val="21"/>
                      <w:highlight w:val="none"/>
                      <w:lang w:val="en-US" w:eastAsia="zh-CN"/>
                    </w:rPr>
                    <w:t>1本</w:t>
                  </w:r>
                </w:p>
              </w:tc>
            </w:tr>
          </w:tbl>
          <w:p w14:paraId="7012A05F">
            <w:pPr>
              <w:rPr>
                <w:rFonts w:hint="eastAsia"/>
                <w:color w:val="auto"/>
                <w:kern w:val="2"/>
                <w:sz w:val="21"/>
                <w:highlight w:val="none"/>
                <w:lang w:val="en-US" w:eastAsia="zh-CN" w:bidi="ar-SA"/>
              </w:rPr>
            </w:pPr>
          </w:p>
        </w:tc>
      </w:tr>
    </w:tbl>
    <w:p w14:paraId="4C3AFB71">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（二）</w:t>
      </w:r>
      <w:r>
        <w:rPr>
          <w:rFonts w:hint="eastAsia" w:ascii="宋体" w:hAnsi="宋体" w:cs="宋体"/>
          <w:b/>
          <w:bCs/>
          <w:color w:val="auto"/>
          <w:kern w:val="28"/>
          <w:sz w:val="21"/>
          <w:szCs w:val="21"/>
          <w:highlight w:val="none"/>
          <w:vertAlign w:val="baseline"/>
          <w:lang w:val="en-US" w:eastAsia="zh-CN"/>
        </w:rPr>
        <w:t>光固化机B</w:t>
      </w:r>
    </w:p>
    <w:tbl>
      <w:tblPr>
        <w:tblStyle w:val="12"/>
        <w:tblW w:w="89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3"/>
        <w:gridCol w:w="7111"/>
      </w:tblGrid>
      <w:tr w14:paraId="64C74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1873" w:type="dxa"/>
            <w:noWrap w:val="0"/>
            <w:vAlign w:val="center"/>
          </w:tcPr>
          <w:p w14:paraId="030697D8">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参数类别</w:t>
            </w:r>
          </w:p>
        </w:tc>
        <w:tc>
          <w:tcPr>
            <w:tcW w:w="7111" w:type="dxa"/>
            <w:noWrap w:val="0"/>
            <w:vAlign w:val="top"/>
          </w:tcPr>
          <w:p w14:paraId="167D0EBB">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6698E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 w:hRule="atLeast"/>
          <w:jc w:val="center"/>
        </w:trPr>
        <w:tc>
          <w:tcPr>
            <w:tcW w:w="1873" w:type="dxa"/>
            <w:noWrap w:val="0"/>
            <w:vAlign w:val="center"/>
          </w:tcPr>
          <w:p w14:paraId="4BD08D78">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主机部分</w:t>
            </w:r>
          </w:p>
        </w:tc>
        <w:tc>
          <w:tcPr>
            <w:tcW w:w="7111" w:type="dxa"/>
            <w:noWrap w:val="0"/>
            <w:vAlign w:val="top"/>
          </w:tcPr>
          <w:p w14:paraId="4AFAA96C">
            <w:pPr>
              <w:pStyle w:val="24"/>
              <w:rPr>
                <w:rFonts w:hint="eastAsia" w:eastAsia="宋体"/>
                <w:color w:val="auto"/>
                <w:sz w:val="21"/>
                <w:highlight w:val="none"/>
                <w:lang w:eastAsia="zh-CN"/>
              </w:rPr>
            </w:pPr>
            <w:r>
              <w:rPr>
                <w:rFonts w:hint="eastAsia"/>
                <w:color w:val="auto"/>
                <w:sz w:val="21"/>
                <w:highlight w:val="none"/>
                <w:lang w:val="en-US" w:eastAsia="zh-CN"/>
              </w:rPr>
              <w:t>1、</w:t>
            </w:r>
            <w:r>
              <w:rPr>
                <w:rFonts w:hint="eastAsia" w:ascii="宋体" w:hAnsi="宋体" w:eastAsia="宋体" w:cs="宋体"/>
                <w:kern w:val="0"/>
                <w:szCs w:val="21"/>
                <w:highlight w:val="none"/>
                <w:lang w:val="en-US" w:eastAsia="zh-CN"/>
              </w:rPr>
              <w:t>▲</w:t>
            </w:r>
            <w:r>
              <w:rPr>
                <w:rFonts w:hint="eastAsia"/>
                <w:color w:val="auto"/>
                <w:sz w:val="21"/>
                <w:highlight w:val="none"/>
                <w:lang w:eastAsia="zh-CN"/>
              </w:rPr>
              <w:t>光强输出波长应在385nm-515nm范围以内可调，可聚合绝大部分牙科光固化材料。</w:t>
            </w:r>
            <w:r>
              <w:rPr>
                <w:rFonts w:hint="eastAsia" w:ascii="宋体" w:hAnsi="宋体" w:cs="宋体"/>
                <w:b/>
                <w:bCs/>
                <w:color w:val="auto"/>
                <w:sz w:val="21"/>
                <w:szCs w:val="21"/>
                <w:highlight w:val="none"/>
                <w:lang w:val="en-US" w:eastAsia="zh-CN"/>
              </w:rPr>
              <w:t xml:space="preserve"> </w:t>
            </w:r>
          </w:p>
          <w:p w14:paraId="6A70BE55">
            <w:pPr>
              <w:pStyle w:val="24"/>
              <w:rPr>
                <w:rFonts w:hint="eastAsia"/>
                <w:color w:val="auto"/>
                <w:sz w:val="21"/>
                <w:highlight w:val="none"/>
                <w:lang w:eastAsia="zh-CN"/>
              </w:rPr>
            </w:pPr>
            <w:r>
              <w:rPr>
                <w:rFonts w:hint="eastAsia"/>
                <w:color w:val="auto"/>
                <w:sz w:val="21"/>
                <w:highlight w:val="none"/>
                <w:lang w:val="en-US" w:eastAsia="zh-CN"/>
              </w:rPr>
              <w:t>2、</w:t>
            </w:r>
            <w:r>
              <w:rPr>
                <w:rFonts w:hint="eastAsia"/>
                <w:color w:val="auto"/>
                <w:sz w:val="21"/>
                <w:highlight w:val="none"/>
                <w:lang w:eastAsia="zh-CN"/>
              </w:rPr>
              <w:t>可输出光照强度</w:t>
            </w:r>
            <w:r>
              <w:rPr>
                <w:rFonts w:hint="eastAsia"/>
                <w:color w:val="auto"/>
                <w:sz w:val="21"/>
                <w:highlight w:val="none"/>
              </w:rPr>
              <w:t>≥</w:t>
            </w:r>
            <w:r>
              <w:rPr>
                <w:rFonts w:hint="eastAsia"/>
                <w:color w:val="auto"/>
                <w:sz w:val="21"/>
                <w:highlight w:val="none"/>
                <w:lang w:val="en-US" w:eastAsia="zh-CN"/>
              </w:rPr>
              <w:t>4档，</w:t>
            </w:r>
            <w:r>
              <w:rPr>
                <w:rFonts w:hint="eastAsia"/>
                <w:color w:val="auto"/>
                <w:sz w:val="21"/>
                <w:highlight w:val="none"/>
                <w:vertAlign w:val="baseline"/>
                <w:lang w:val="en-US" w:eastAsia="zh-CN"/>
              </w:rPr>
              <w:t>至少可以</w:t>
            </w:r>
            <w:r>
              <w:rPr>
                <w:rFonts w:hint="eastAsia"/>
                <w:color w:val="auto"/>
                <w:sz w:val="21"/>
                <w:highlight w:val="none"/>
                <w:lang w:eastAsia="zh-CN"/>
              </w:rPr>
              <w:t>适用于极速固化、大块树脂深度固化、软启动和脉冲模式下有效固化防止树脂材料的应力收缩、龋齿检测等，可支持设置固化时间。</w:t>
            </w:r>
          </w:p>
          <w:p w14:paraId="2FBCF539">
            <w:pPr>
              <w:pStyle w:val="24"/>
              <w:rPr>
                <w:rFonts w:hint="eastAsia"/>
                <w:color w:val="auto"/>
                <w:sz w:val="21"/>
                <w:highlight w:val="none"/>
                <w:lang w:eastAsia="zh-CN"/>
              </w:rPr>
            </w:pPr>
            <w:r>
              <w:rPr>
                <w:rFonts w:hint="eastAsia"/>
                <w:color w:val="auto"/>
                <w:sz w:val="21"/>
                <w:highlight w:val="none"/>
                <w:lang w:val="en-US" w:eastAsia="zh-CN"/>
              </w:rPr>
              <w:t>3、</w:t>
            </w:r>
            <w:r>
              <w:rPr>
                <w:rFonts w:hint="eastAsia" w:ascii="宋体" w:hAnsi="宋体" w:eastAsia="宋体" w:cs="宋体"/>
                <w:kern w:val="0"/>
                <w:szCs w:val="21"/>
                <w:highlight w:val="none"/>
                <w:lang w:val="en-US" w:eastAsia="zh-CN"/>
              </w:rPr>
              <w:t>▲</w:t>
            </w:r>
            <w:r>
              <w:rPr>
                <w:rFonts w:hint="eastAsia"/>
                <w:color w:val="auto"/>
                <w:sz w:val="21"/>
                <w:highlight w:val="none"/>
                <w:lang w:val="en-US" w:eastAsia="zh-CN"/>
              </w:rPr>
              <w:t>应具备显示</w:t>
            </w:r>
            <w:r>
              <w:rPr>
                <w:rFonts w:hint="eastAsia"/>
                <w:color w:val="auto"/>
                <w:sz w:val="21"/>
                <w:highlight w:val="none"/>
                <w:lang w:eastAsia="zh-CN"/>
              </w:rPr>
              <w:t>屏幕，应至少可显示光强、固化时间及主机电量等信息。</w:t>
            </w:r>
          </w:p>
          <w:p w14:paraId="18B94128">
            <w:pPr>
              <w:pStyle w:val="24"/>
              <w:rPr>
                <w:rFonts w:hint="eastAsia" w:ascii="Calibri" w:hAnsi="Calibri" w:eastAsia="宋体" w:cs="Times New Roman"/>
                <w:color w:val="auto"/>
                <w:highlight w:val="none"/>
                <w:lang w:val="en-US" w:eastAsia="zh-CN"/>
              </w:rPr>
            </w:pPr>
            <w:r>
              <w:rPr>
                <w:rFonts w:hint="eastAsia"/>
                <w:color w:val="auto"/>
                <w:sz w:val="21"/>
                <w:highlight w:val="none"/>
                <w:lang w:val="en-US" w:eastAsia="zh-CN"/>
              </w:rPr>
              <w:t>4、</w:t>
            </w:r>
            <w:r>
              <w:rPr>
                <w:rFonts w:hint="eastAsia" w:ascii="宋体" w:hAnsi="宋体" w:eastAsia="宋体" w:cs="宋体"/>
                <w:kern w:val="0"/>
                <w:szCs w:val="21"/>
                <w:highlight w:val="none"/>
                <w:lang w:val="en-US" w:eastAsia="zh-CN"/>
              </w:rPr>
              <w:t>▲</w:t>
            </w:r>
            <w:r>
              <w:rPr>
                <w:rFonts w:hint="eastAsia"/>
                <w:color w:val="auto"/>
                <w:sz w:val="21"/>
                <w:highlight w:val="none"/>
                <w:lang w:val="en-US" w:eastAsia="zh-CN"/>
              </w:rPr>
              <w:t>应至少具备高效模式、软启动模式、脉冲模式、龋齿检测模式等工作模式。</w:t>
            </w:r>
          </w:p>
        </w:tc>
      </w:tr>
      <w:tr w14:paraId="580D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873" w:type="dxa"/>
            <w:noWrap w:val="0"/>
            <w:vAlign w:val="center"/>
          </w:tcPr>
          <w:p w14:paraId="19308DB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灯头部分</w:t>
            </w:r>
          </w:p>
        </w:tc>
        <w:tc>
          <w:tcPr>
            <w:tcW w:w="7111" w:type="dxa"/>
            <w:noWrap w:val="0"/>
            <w:vAlign w:val="top"/>
          </w:tcPr>
          <w:p w14:paraId="62AFC5A4">
            <w:pPr>
              <w:pStyle w:val="24"/>
              <w:rPr>
                <w:rFonts w:hint="eastAsia"/>
                <w:sz w:val="21"/>
                <w:lang w:eastAsia="zh-CN"/>
              </w:rPr>
            </w:pPr>
            <w:r>
              <w:rPr>
                <w:rFonts w:hint="eastAsia"/>
                <w:sz w:val="21"/>
                <w:lang w:val="en-US" w:eastAsia="zh-CN"/>
              </w:rPr>
              <w:t>1、机头厚度</w:t>
            </w:r>
            <w:r>
              <w:rPr>
                <w:rFonts w:hint="eastAsia"/>
                <w:sz w:val="21"/>
              </w:rPr>
              <w:t>≤</w:t>
            </w:r>
            <w:r>
              <w:rPr>
                <w:rFonts w:hint="eastAsia"/>
                <w:sz w:val="21"/>
                <w:lang w:eastAsia="zh-CN"/>
              </w:rPr>
              <w:t>9mm，可以保证近平行光输出。</w:t>
            </w:r>
          </w:p>
          <w:p w14:paraId="655F2CF5">
            <w:pPr>
              <w:pStyle w:val="24"/>
              <w:rPr>
                <w:rFonts w:hint="eastAsia"/>
                <w:sz w:val="21"/>
                <w:lang w:eastAsia="zh-CN"/>
              </w:rPr>
            </w:pPr>
            <w:r>
              <w:rPr>
                <w:rFonts w:hint="eastAsia"/>
                <w:sz w:val="21"/>
                <w:lang w:val="en-US" w:eastAsia="zh-CN"/>
              </w:rPr>
              <w:t>2、机头应支持</w:t>
            </w:r>
            <w:r>
              <w:rPr>
                <w:rFonts w:hint="eastAsia"/>
                <w:sz w:val="21"/>
                <w:lang w:eastAsia="zh-CN"/>
              </w:rPr>
              <w:t>360</w:t>
            </w:r>
            <w:r>
              <w:rPr>
                <w:rFonts w:hint="default" w:ascii="Calibri" w:hAnsi="Calibri" w:cs="Calibri"/>
                <w:sz w:val="21"/>
                <w:lang w:eastAsia="zh-CN"/>
              </w:rPr>
              <w:t>°</w:t>
            </w:r>
            <w:r>
              <w:rPr>
                <w:rFonts w:hint="eastAsia"/>
                <w:sz w:val="21"/>
                <w:lang w:eastAsia="zh-CN"/>
              </w:rPr>
              <w:t>旋转，可以照射整个口腔。</w:t>
            </w:r>
          </w:p>
          <w:p w14:paraId="6799A57B">
            <w:pPr>
              <w:pStyle w:val="24"/>
              <w:rPr>
                <w:rFonts w:hint="eastAsia"/>
                <w:sz w:val="21"/>
                <w:lang w:eastAsia="zh-CN"/>
              </w:rPr>
            </w:pPr>
            <w:r>
              <w:rPr>
                <w:rFonts w:hint="eastAsia"/>
                <w:sz w:val="21"/>
                <w:lang w:val="en-US" w:eastAsia="zh-CN"/>
              </w:rPr>
              <w:t>3、</w:t>
            </w:r>
            <w:r>
              <w:rPr>
                <w:rFonts w:hint="eastAsia"/>
                <w:sz w:val="21"/>
                <w:lang w:eastAsia="zh-CN"/>
              </w:rPr>
              <w:t>机头应为一体化设计，坚固抗摔。</w:t>
            </w:r>
          </w:p>
          <w:p w14:paraId="5C1B9BAF">
            <w:pPr>
              <w:pStyle w:val="24"/>
              <w:rPr>
                <w:rFonts w:hint="eastAsia"/>
                <w:sz w:val="21"/>
                <w:vertAlign w:val="baseline"/>
                <w:lang w:val="en-US" w:eastAsia="zh-CN"/>
              </w:rPr>
            </w:pPr>
            <w:r>
              <w:rPr>
                <w:rFonts w:hint="eastAsia"/>
                <w:sz w:val="21"/>
                <w:lang w:val="en-US" w:eastAsia="zh-CN"/>
              </w:rPr>
              <w:t>4、</w:t>
            </w:r>
            <w:r>
              <w:rPr>
                <w:rFonts w:hint="eastAsia"/>
                <w:sz w:val="21"/>
                <w:lang w:eastAsia="zh-CN"/>
              </w:rPr>
              <w:t>机头装置直径的凸透镜，应具有聚光作用，光学有效面积</w:t>
            </w:r>
            <w:r>
              <w:rPr>
                <w:rFonts w:hint="eastAsia"/>
                <w:sz w:val="21"/>
              </w:rPr>
              <w:t>≥</w:t>
            </w:r>
            <w:r>
              <w:rPr>
                <w:rFonts w:hint="eastAsia"/>
                <w:sz w:val="21"/>
                <w:lang w:eastAsia="zh-CN"/>
              </w:rPr>
              <w:t>70mm</w:t>
            </w:r>
            <w:r>
              <w:rPr>
                <w:rFonts w:hint="eastAsia"/>
                <w:sz w:val="21"/>
                <w:vertAlign w:val="superscript"/>
                <w:lang w:val="en-US" w:eastAsia="zh-CN"/>
              </w:rPr>
              <w:t>2</w:t>
            </w:r>
            <w:r>
              <w:rPr>
                <w:rFonts w:hint="eastAsia"/>
                <w:sz w:val="21"/>
                <w:vertAlign w:val="baseline"/>
                <w:lang w:val="en-US" w:eastAsia="zh-CN"/>
              </w:rPr>
              <w:t>。</w:t>
            </w:r>
          </w:p>
          <w:p w14:paraId="440D8E8A">
            <w:pPr>
              <w:pStyle w:val="24"/>
              <w:rPr>
                <w:rFonts w:hint="default"/>
                <w:sz w:val="21"/>
                <w:vertAlign w:val="baseline"/>
                <w:lang w:val="en-US" w:eastAsia="zh-CN"/>
              </w:rPr>
            </w:pPr>
            <w:r>
              <w:rPr>
                <w:rFonts w:hint="eastAsia"/>
                <w:sz w:val="21"/>
                <w:vertAlign w:val="baseline"/>
                <w:lang w:val="en-US" w:eastAsia="zh-CN"/>
              </w:rPr>
              <w:t>5、</w:t>
            </w:r>
            <w:r>
              <w:rPr>
                <w:rFonts w:hint="eastAsia"/>
                <w:sz w:val="21"/>
                <w:lang w:val="en-US" w:eastAsia="zh-CN"/>
              </w:rPr>
              <w:t>蓝紫双色光：四灯珠应分别为三颗蓝色LED灯，一颗紫色 LED 灯。</w:t>
            </w:r>
          </w:p>
        </w:tc>
      </w:tr>
      <w:tr w14:paraId="3C07B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1" w:hRule="atLeast"/>
          <w:jc w:val="center"/>
        </w:trPr>
        <w:tc>
          <w:tcPr>
            <w:tcW w:w="1873" w:type="dxa"/>
            <w:noWrap w:val="0"/>
            <w:vAlign w:val="center"/>
          </w:tcPr>
          <w:p w14:paraId="23A86A41">
            <w:pPr>
              <w:pStyle w:val="24"/>
              <w:keepNext w:val="0"/>
              <w:keepLines w:val="0"/>
              <w:pageBreakBefore w:val="0"/>
              <w:kinsoku/>
              <w:wordWrap/>
              <w:overflowPunct/>
              <w:topLinePunct w:val="0"/>
              <w:autoSpaceDE/>
              <w:autoSpaceDN/>
              <w:bidi w:val="0"/>
              <w:adjustRightInd/>
              <w:snapToGrid/>
              <w:jc w:val="center"/>
              <w:textAlignment w:val="auto"/>
              <w:rPr>
                <w:rFonts w:hint="eastAsia"/>
                <w:sz w:val="21"/>
                <w:lang w:val="en-US" w:eastAsia="zh-CN"/>
              </w:rPr>
            </w:pPr>
            <w:r>
              <w:rPr>
                <w:rFonts w:hint="eastAsia"/>
                <w:sz w:val="21"/>
                <w:lang w:val="en-US" w:eastAsia="zh-CN"/>
              </w:rPr>
              <w:t>配置要求</w:t>
            </w:r>
          </w:p>
          <w:p w14:paraId="2223E5F3">
            <w:pPr>
              <w:pStyle w:val="24"/>
              <w:keepNext w:val="0"/>
              <w:keepLines w:val="0"/>
              <w:pageBreakBefore w:val="0"/>
              <w:kinsoku/>
              <w:wordWrap/>
              <w:overflowPunct/>
              <w:topLinePunct w:val="0"/>
              <w:autoSpaceDE/>
              <w:autoSpaceDN/>
              <w:bidi w:val="0"/>
              <w:adjustRightInd/>
              <w:snapToGrid/>
              <w:jc w:val="center"/>
              <w:textAlignment w:val="auto"/>
              <w:rPr>
                <w:rFonts w:hint="default"/>
                <w:sz w:val="21"/>
                <w:lang w:val="en-US"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111" w:type="dxa"/>
            <w:noWrap w:val="0"/>
            <w:vAlign w:val="top"/>
          </w:tcPr>
          <w:tbl>
            <w:tblPr>
              <w:tblStyle w:val="12"/>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53"/>
              <w:gridCol w:w="3915"/>
            </w:tblGrid>
            <w:tr w14:paraId="7A16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51" w:type="dxa"/>
                  <w:noWrap w:val="0"/>
                  <w:tcMar>
                    <w:top w:w="0" w:type="dxa"/>
                    <w:left w:w="105" w:type="dxa"/>
                    <w:bottom w:w="0" w:type="dxa"/>
                    <w:right w:w="105" w:type="dxa"/>
                  </w:tcMar>
                  <w:vAlign w:val="top"/>
                </w:tcPr>
                <w:p w14:paraId="41482606">
                  <w:pPr>
                    <w:pStyle w:val="24"/>
                    <w:jc w:val="center"/>
                  </w:pPr>
                  <w:r>
                    <w:rPr>
                      <w:sz w:val="21"/>
                    </w:rPr>
                    <w:t>序号</w:t>
                  </w:r>
                </w:p>
              </w:tc>
              <w:tc>
                <w:tcPr>
                  <w:tcW w:w="2053" w:type="dxa"/>
                  <w:noWrap w:val="0"/>
                  <w:tcMar>
                    <w:top w:w="0" w:type="dxa"/>
                    <w:left w:w="105" w:type="dxa"/>
                    <w:bottom w:w="0" w:type="dxa"/>
                    <w:right w:w="105" w:type="dxa"/>
                  </w:tcMar>
                  <w:vAlign w:val="top"/>
                </w:tcPr>
                <w:p w14:paraId="552836C5">
                  <w:pPr>
                    <w:pStyle w:val="24"/>
                    <w:jc w:val="center"/>
                  </w:pPr>
                  <w:r>
                    <w:rPr>
                      <w:sz w:val="21"/>
                    </w:rPr>
                    <w:t>配置内容</w:t>
                  </w:r>
                </w:p>
              </w:tc>
              <w:tc>
                <w:tcPr>
                  <w:tcW w:w="3915" w:type="dxa"/>
                  <w:noWrap w:val="0"/>
                  <w:tcMar>
                    <w:top w:w="0" w:type="dxa"/>
                    <w:left w:w="105" w:type="dxa"/>
                    <w:bottom w:w="0" w:type="dxa"/>
                    <w:right w:w="105" w:type="dxa"/>
                  </w:tcMar>
                  <w:vAlign w:val="top"/>
                </w:tcPr>
                <w:p w14:paraId="69357353">
                  <w:pPr>
                    <w:pStyle w:val="24"/>
                    <w:jc w:val="center"/>
                  </w:pPr>
                  <w:r>
                    <w:rPr>
                      <w:sz w:val="21"/>
                    </w:rPr>
                    <w:t>数量</w:t>
                  </w:r>
                </w:p>
              </w:tc>
            </w:tr>
            <w:tr w14:paraId="21B8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4678F013">
                  <w:pPr>
                    <w:pStyle w:val="24"/>
                    <w:jc w:val="center"/>
                  </w:pPr>
                  <w:r>
                    <w:rPr>
                      <w:sz w:val="21"/>
                    </w:rPr>
                    <w:t>1</w:t>
                  </w:r>
                </w:p>
              </w:tc>
              <w:tc>
                <w:tcPr>
                  <w:tcW w:w="2053" w:type="dxa"/>
                  <w:noWrap w:val="0"/>
                  <w:tcMar>
                    <w:top w:w="0" w:type="dxa"/>
                    <w:left w:w="105" w:type="dxa"/>
                    <w:bottom w:w="0" w:type="dxa"/>
                    <w:right w:w="105" w:type="dxa"/>
                  </w:tcMar>
                  <w:vAlign w:val="top"/>
                </w:tcPr>
                <w:p w14:paraId="319E9C7C">
                  <w:pPr>
                    <w:pStyle w:val="24"/>
                    <w:jc w:val="center"/>
                    <w:rPr>
                      <w:rFonts w:hint="eastAsia" w:eastAsia="宋体"/>
                      <w:lang w:eastAsia="zh-CN"/>
                    </w:rPr>
                  </w:pPr>
                  <w:r>
                    <w:rPr>
                      <w:rFonts w:hint="eastAsia"/>
                      <w:sz w:val="21"/>
                      <w:lang w:eastAsia="zh-CN"/>
                    </w:rPr>
                    <w:t>灯头</w:t>
                  </w:r>
                </w:p>
              </w:tc>
              <w:tc>
                <w:tcPr>
                  <w:tcW w:w="3915" w:type="dxa"/>
                  <w:noWrap w:val="0"/>
                  <w:tcMar>
                    <w:top w:w="0" w:type="dxa"/>
                    <w:left w:w="105" w:type="dxa"/>
                    <w:bottom w:w="0" w:type="dxa"/>
                    <w:right w:w="105" w:type="dxa"/>
                  </w:tcMar>
                  <w:vAlign w:val="top"/>
                </w:tcPr>
                <w:p w14:paraId="20F7086F">
                  <w:pPr>
                    <w:pStyle w:val="24"/>
                    <w:jc w:val="center"/>
                    <w:rPr>
                      <w:rFonts w:hint="eastAsia" w:eastAsia="宋体"/>
                      <w:lang w:eastAsia="zh-CN"/>
                    </w:rPr>
                  </w:pPr>
                  <w:r>
                    <w:rPr>
                      <w:sz w:val="21"/>
                    </w:rPr>
                    <w:t>1</w:t>
                  </w:r>
                  <w:r>
                    <w:rPr>
                      <w:rFonts w:hint="eastAsia"/>
                      <w:sz w:val="21"/>
                      <w:lang w:eastAsia="zh-CN"/>
                    </w:rPr>
                    <w:t>个</w:t>
                  </w:r>
                </w:p>
              </w:tc>
            </w:tr>
            <w:tr w14:paraId="7C7D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79633EE4">
                  <w:pPr>
                    <w:pStyle w:val="24"/>
                    <w:jc w:val="center"/>
                  </w:pPr>
                  <w:r>
                    <w:rPr>
                      <w:sz w:val="21"/>
                    </w:rPr>
                    <w:t>2</w:t>
                  </w:r>
                </w:p>
              </w:tc>
              <w:tc>
                <w:tcPr>
                  <w:tcW w:w="2053" w:type="dxa"/>
                  <w:noWrap w:val="0"/>
                  <w:tcMar>
                    <w:top w:w="0" w:type="dxa"/>
                    <w:left w:w="105" w:type="dxa"/>
                    <w:bottom w:w="0" w:type="dxa"/>
                    <w:right w:w="105" w:type="dxa"/>
                  </w:tcMar>
                  <w:vAlign w:val="top"/>
                </w:tcPr>
                <w:p w14:paraId="5EFFEA1A">
                  <w:pPr>
                    <w:pStyle w:val="24"/>
                    <w:jc w:val="center"/>
                    <w:rPr>
                      <w:rFonts w:hint="eastAsia" w:eastAsia="宋体"/>
                      <w:lang w:eastAsia="zh-CN"/>
                    </w:rPr>
                  </w:pPr>
                  <w:r>
                    <w:rPr>
                      <w:rFonts w:hint="eastAsia"/>
                      <w:sz w:val="21"/>
                      <w:lang w:eastAsia="zh-CN"/>
                    </w:rPr>
                    <w:t>主机</w:t>
                  </w:r>
                </w:p>
              </w:tc>
              <w:tc>
                <w:tcPr>
                  <w:tcW w:w="3915" w:type="dxa"/>
                  <w:noWrap w:val="0"/>
                  <w:tcMar>
                    <w:top w:w="0" w:type="dxa"/>
                    <w:left w:w="105" w:type="dxa"/>
                    <w:bottom w:w="0" w:type="dxa"/>
                    <w:right w:w="105" w:type="dxa"/>
                  </w:tcMar>
                  <w:vAlign w:val="top"/>
                </w:tcPr>
                <w:p w14:paraId="4F91F82D">
                  <w:pPr>
                    <w:pStyle w:val="24"/>
                    <w:jc w:val="center"/>
                    <w:rPr>
                      <w:rFonts w:hint="eastAsia" w:eastAsia="宋体"/>
                      <w:lang w:eastAsia="zh-CN"/>
                    </w:rPr>
                  </w:pPr>
                  <w:r>
                    <w:rPr>
                      <w:rFonts w:hint="eastAsia"/>
                      <w:sz w:val="21"/>
                      <w:lang w:val="en-US" w:eastAsia="zh-CN"/>
                    </w:rPr>
                    <w:t>1个</w:t>
                  </w:r>
                </w:p>
              </w:tc>
            </w:tr>
            <w:tr w14:paraId="3D6A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02CAF688">
                  <w:pPr>
                    <w:pStyle w:val="24"/>
                    <w:jc w:val="center"/>
                  </w:pPr>
                  <w:r>
                    <w:rPr>
                      <w:sz w:val="21"/>
                    </w:rPr>
                    <w:t>3</w:t>
                  </w:r>
                </w:p>
              </w:tc>
              <w:tc>
                <w:tcPr>
                  <w:tcW w:w="2053" w:type="dxa"/>
                  <w:noWrap w:val="0"/>
                  <w:tcMar>
                    <w:top w:w="0" w:type="dxa"/>
                    <w:left w:w="105" w:type="dxa"/>
                    <w:bottom w:w="0" w:type="dxa"/>
                    <w:right w:w="105" w:type="dxa"/>
                  </w:tcMar>
                  <w:vAlign w:val="top"/>
                </w:tcPr>
                <w:p w14:paraId="665BEA89">
                  <w:pPr>
                    <w:pStyle w:val="24"/>
                    <w:jc w:val="center"/>
                    <w:rPr>
                      <w:rFonts w:hint="eastAsia" w:eastAsia="宋体"/>
                      <w:lang w:eastAsia="zh-CN"/>
                    </w:rPr>
                  </w:pPr>
                  <w:r>
                    <w:rPr>
                      <w:rFonts w:hint="eastAsia"/>
                      <w:sz w:val="21"/>
                      <w:lang w:eastAsia="zh-CN"/>
                    </w:rPr>
                    <w:t>遮光板</w:t>
                  </w:r>
                </w:p>
              </w:tc>
              <w:tc>
                <w:tcPr>
                  <w:tcW w:w="3915" w:type="dxa"/>
                  <w:noWrap w:val="0"/>
                  <w:tcMar>
                    <w:top w:w="0" w:type="dxa"/>
                    <w:left w:w="105" w:type="dxa"/>
                    <w:bottom w:w="0" w:type="dxa"/>
                    <w:right w:w="105" w:type="dxa"/>
                  </w:tcMar>
                  <w:vAlign w:val="top"/>
                </w:tcPr>
                <w:p w14:paraId="7E2F1B38">
                  <w:pPr>
                    <w:pStyle w:val="24"/>
                    <w:jc w:val="center"/>
                    <w:rPr>
                      <w:rFonts w:hint="eastAsia" w:eastAsia="宋体"/>
                      <w:lang w:eastAsia="zh-CN"/>
                    </w:rPr>
                  </w:pPr>
                  <w:r>
                    <w:rPr>
                      <w:rFonts w:hint="eastAsia"/>
                      <w:sz w:val="21"/>
                      <w:lang w:val="en-US" w:eastAsia="zh-CN"/>
                    </w:rPr>
                    <w:t>1个</w:t>
                  </w:r>
                </w:p>
              </w:tc>
            </w:tr>
            <w:tr w14:paraId="214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51" w:type="dxa"/>
                  <w:noWrap w:val="0"/>
                  <w:tcMar>
                    <w:top w:w="0" w:type="dxa"/>
                    <w:left w:w="105" w:type="dxa"/>
                    <w:bottom w:w="0" w:type="dxa"/>
                    <w:right w:w="105" w:type="dxa"/>
                  </w:tcMar>
                  <w:vAlign w:val="top"/>
                </w:tcPr>
                <w:p w14:paraId="57EE6FA1">
                  <w:pPr>
                    <w:pStyle w:val="24"/>
                    <w:jc w:val="center"/>
                    <w:rPr>
                      <w:rFonts w:hint="eastAsia" w:eastAsia="宋体"/>
                      <w:sz w:val="21"/>
                      <w:lang w:val="en-US" w:eastAsia="zh-CN"/>
                    </w:rPr>
                  </w:pPr>
                  <w:r>
                    <w:rPr>
                      <w:rFonts w:hint="eastAsia"/>
                      <w:sz w:val="21"/>
                      <w:lang w:val="en-US" w:eastAsia="zh-CN"/>
                    </w:rPr>
                    <w:t>4</w:t>
                  </w:r>
                </w:p>
              </w:tc>
              <w:tc>
                <w:tcPr>
                  <w:tcW w:w="2053" w:type="dxa"/>
                  <w:noWrap w:val="0"/>
                  <w:tcMar>
                    <w:top w:w="0" w:type="dxa"/>
                    <w:left w:w="105" w:type="dxa"/>
                    <w:bottom w:w="0" w:type="dxa"/>
                    <w:right w:w="105" w:type="dxa"/>
                  </w:tcMar>
                  <w:vAlign w:val="top"/>
                </w:tcPr>
                <w:p w14:paraId="2944533C">
                  <w:pPr>
                    <w:pStyle w:val="24"/>
                    <w:jc w:val="center"/>
                    <w:rPr>
                      <w:rFonts w:hint="eastAsia" w:eastAsia="宋体"/>
                      <w:sz w:val="21"/>
                      <w:lang w:eastAsia="zh-CN"/>
                    </w:rPr>
                  </w:pPr>
                  <w:r>
                    <w:rPr>
                      <w:rFonts w:hint="eastAsia"/>
                      <w:sz w:val="21"/>
                      <w:lang w:val="en-US" w:eastAsia="zh-CN"/>
                    </w:rPr>
                    <w:t>充电器</w:t>
                  </w:r>
                </w:p>
              </w:tc>
              <w:tc>
                <w:tcPr>
                  <w:tcW w:w="3915" w:type="dxa"/>
                  <w:noWrap w:val="0"/>
                  <w:tcMar>
                    <w:top w:w="0" w:type="dxa"/>
                    <w:left w:w="105" w:type="dxa"/>
                    <w:bottom w:w="0" w:type="dxa"/>
                    <w:right w:w="105" w:type="dxa"/>
                  </w:tcMar>
                  <w:vAlign w:val="top"/>
                </w:tcPr>
                <w:p w14:paraId="5B442313">
                  <w:pPr>
                    <w:pStyle w:val="24"/>
                    <w:jc w:val="center"/>
                    <w:rPr>
                      <w:rFonts w:hint="default"/>
                      <w:sz w:val="21"/>
                      <w:lang w:val="en-US" w:eastAsia="zh-CN"/>
                    </w:rPr>
                  </w:pPr>
                  <w:r>
                    <w:rPr>
                      <w:rFonts w:hint="eastAsia"/>
                      <w:sz w:val="21"/>
                      <w:lang w:val="en-US" w:eastAsia="zh-CN"/>
                    </w:rPr>
                    <w:t>1个</w:t>
                  </w:r>
                </w:p>
              </w:tc>
            </w:tr>
            <w:tr w14:paraId="5E37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7B417842">
                  <w:pPr>
                    <w:pStyle w:val="24"/>
                    <w:jc w:val="center"/>
                    <w:rPr>
                      <w:rFonts w:hint="default"/>
                      <w:sz w:val="21"/>
                      <w:lang w:val="en-US" w:eastAsia="zh-CN"/>
                    </w:rPr>
                  </w:pPr>
                  <w:r>
                    <w:rPr>
                      <w:rFonts w:hint="eastAsia"/>
                      <w:sz w:val="21"/>
                      <w:lang w:val="en-US" w:eastAsia="zh-CN"/>
                    </w:rPr>
                    <w:t>5</w:t>
                  </w:r>
                </w:p>
              </w:tc>
              <w:tc>
                <w:tcPr>
                  <w:tcW w:w="2053" w:type="dxa"/>
                  <w:noWrap w:val="0"/>
                  <w:tcMar>
                    <w:top w:w="0" w:type="dxa"/>
                    <w:left w:w="105" w:type="dxa"/>
                    <w:bottom w:w="0" w:type="dxa"/>
                    <w:right w:w="105" w:type="dxa"/>
                  </w:tcMar>
                  <w:vAlign w:val="top"/>
                </w:tcPr>
                <w:p w14:paraId="0963624A">
                  <w:pPr>
                    <w:pStyle w:val="24"/>
                    <w:jc w:val="center"/>
                    <w:rPr>
                      <w:rFonts w:hint="eastAsia" w:eastAsia="宋体"/>
                      <w:sz w:val="21"/>
                      <w:lang w:eastAsia="zh-CN"/>
                    </w:rPr>
                  </w:pPr>
                  <w:r>
                    <w:rPr>
                      <w:rFonts w:hint="eastAsia"/>
                      <w:sz w:val="21"/>
                      <w:lang w:eastAsia="zh-CN"/>
                    </w:rPr>
                    <w:t>使用说明书</w:t>
                  </w:r>
                </w:p>
              </w:tc>
              <w:tc>
                <w:tcPr>
                  <w:tcW w:w="3915" w:type="dxa"/>
                  <w:noWrap w:val="0"/>
                  <w:tcMar>
                    <w:top w:w="0" w:type="dxa"/>
                    <w:left w:w="105" w:type="dxa"/>
                    <w:bottom w:w="0" w:type="dxa"/>
                    <w:right w:w="105" w:type="dxa"/>
                  </w:tcMar>
                  <w:vAlign w:val="top"/>
                </w:tcPr>
                <w:p w14:paraId="126AD25D">
                  <w:pPr>
                    <w:pStyle w:val="24"/>
                    <w:jc w:val="center"/>
                    <w:rPr>
                      <w:rFonts w:hint="default"/>
                      <w:sz w:val="21"/>
                      <w:lang w:val="en-US" w:eastAsia="zh-CN"/>
                    </w:rPr>
                  </w:pPr>
                  <w:r>
                    <w:rPr>
                      <w:rFonts w:hint="eastAsia"/>
                      <w:sz w:val="21"/>
                      <w:lang w:val="en-US" w:eastAsia="zh-CN"/>
                    </w:rPr>
                    <w:t>1本</w:t>
                  </w:r>
                </w:p>
              </w:tc>
            </w:tr>
          </w:tbl>
          <w:p w14:paraId="462C8FD5">
            <w:pPr>
              <w:rPr>
                <w:rFonts w:hint="eastAsia"/>
                <w:kern w:val="2"/>
                <w:sz w:val="21"/>
                <w:lang w:val="en-US" w:eastAsia="zh-CN" w:bidi="ar-SA"/>
              </w:rPr>
            </w:pPr>
          </w:p>
        </w:tc>
      </w:tr>
    </w:tbl>
    <w:p w14:paraId="7C3B6D3F">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（三）</w:t>
      </w:r>
      <w:r>
        <w:rPr>
          <w:rFonts w:hint="eastAsia" w:ascii="宋体" w:hAnsi="宋体" w:cs="宋体"/>
          <w:b/>
          <w:bCs/>
          <w:color w:val="auto"/>
          <w:kern w:val="28"/>
          <w:sz w:val="21"/>
          <w:szCs w:val="21"/>
          <w:highlight w:val="none"/>
          <w:vertAlign w:val="baseline"/>
          <w:lang w:val="en-US" w:eastAsia="zh-CN"/>
        </w:rPr>
        <w:t>牙科气动马达</w:t>
      </w:r>
    </w:p>
    <w:tbl>
      <w:tblPr>
        <w:tblStyle w:val="12"/>
        <w:tblW w:w="901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7599"/>
      </w:tblGrid>
      <w:tr w14:paraId="32CEA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1418" w:type="dxa"/>
            <w:tcBorders>
              <w:left w:val="single" w:color="auto" w:sz="4" w:space="0"/>
            </w:tcBorders>
            <w:noWrap w:val="0"/>
            <w:vAlign w:val="center"/>
          </w:tcPr>
          <w:p w14:paraId="5D3F707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参数类别</w:t>
            </w:r>
          </w:p>
        </w:tc>
        <w:tc>
          <w:tcPr>
            <w:tcW w:w="7599" w:type="dxa"/>
            <w:tcBorders>
              <w:left w:val="single" w:color="auto" w:sz="4" w:space="0"/>
            </w:tcBorders>
            <w:noWrap w:val="0"/>
            <w:vAlign w:val="top"/>
          </w:tcPr>
          <w:p w14:paraId="5C7D179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53D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tcBorders>
              <w:left w:val="single" w:color="auto" w:sz="4" w:space="0"/>
            </w:tcBorders>
            <w:noWrap w:val="0"/>
            <w:vAlign w:val="center"/>
          </w:tcPr>
          <w:p w14:paraId="00AEB460">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lang w:val="en-US" w:eastAsia="zh-CN"/>
              </w:rPr>
            </w:pPr>
            <w:r>
              <w:rPr>
                <w:rFonts w:hint="eastAsia" w:ascii="宋体" w:hAnsi="宋体" w:eastAsia="宋体" w:cs="宋体"/>
                <w:sz w:val="21"/>
                <w:szCs w:val="21"/>
                <w:lang w:val="en-US" w:eastAsia="zh-CN"/>
              </w:rPr>
              <w:t>整体性能要求</w:t>
            </w:r>
          </w:p>
        </w:tc>
        <w:tc>
          <w:tcPr>
            <w:tcW w:w="7599" w:type="dxa"/>
            <w:tcBorders>
              <w:left w:val="single" w:color="auto" w:sz="4" w:space="0"/>
            </w:tcBorders>
            <w:noWrap w:val="0"/>
            <w:vAlign w:val="center"/>
          </w:tcPr>
          <w:p w14:paraId="5EAC3AA3">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w:t>
            </w:r>
            <w:r>
              <w:rPr>
                <w:rFonts w:hint="eastAsia" w:ascii="宋体" w:hAnsi="宋体" w:cs="宋体"/>
                <w:kern w:val="0"/>
                <w:sz w:val="21"/>
                <w:szCs w:val="21"/>
                <w:lang w:val="en-US" w:eastAsia="zh-CN" w:bidi="ar-SA"/>
              </w:rPr>
              <w:t>、</w:t>
            </w:r>
            <w:r>
              <w:rPr>
                <w:rFonts w:hint="eastAsia" w:ascii="宋体" w:hAnsi="宋体" w:cs="宋体"/>
                <w:kern w:val="0"/>
                <w:sz w:val="21"/>
                <w:szCs w:val="21"/>
              </w:rPr>
              <w:t>牙科气动马达用于驱动牙科手机，进行牙科治疗</w:t>
            </w:r>
            <w:r>
              <w:rPr>
                <w:rFonts w:hint="eastAsia" w:ascii="宋体" w:hAnsi="宋体" w:cs="宋体"/>
                <w:kern w:val="0"/>
                <w:sz w:val="21"/>
                <w:szCs w:val="21"/>
                <w:lang w:eastAsia="zh-CN"/>
              </w:rPr>
              <w:t>。</w:t>
            </w:r>
          </w:p>
          <w:p w14:paraId="5F8ABEA3">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kern w:val="0"/>
                <w:sz w:val="21"/>
                <w:szCs w:val="21"/>
              </w:rPr>
            </w:pPr>
            <w:r>
              <w:rPr>
                <w:rFonts w:hint="default" w:ascii="宋体" w:hAnsi="宋体" w:cs="宋体"/>
                <w:kern w:val="0"/>
                <w:sz w:val="21"/>
                <w:szCs w:val="21"/>
                <w:lang w:val="en-US" w:eastAsia="zh-CN"/>
              </w:rPr>
              <w:t>2</w:t>
            </w:r>
            <w:r>
              <w:rPr>
                <w:rFonts w:hint="eastAsia" w:ascii="宋体" w:hAnsi="宋体" w:cs="宋体"/>
                <w:kern w:val="0"/>
                <w:sz w:val="21"/>
                <w:szCs w:val="21"/>
                <w:lang w:val="en-US" w:eastAsia="zh-CN"/>
              </w:rPr>
              <w:t>、</w:t>
            </w:r>
            <w:r>
              <w:rPr>
                <w:rFonts w:hint="eastAsia" w:ascii="宋体" w:hAnsi="宋体" w:cs="宋体"/>
                <w:kern w:val="0"/>
                <w:sz w:val="21"/>
                <w:szCs w:val="21"/>
              </w:rPr>
              <w:t>1:1自动传动比</w:t>
            </w:r>
          </w:p>
          <w:p w14:paraId="55BC6544">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最高转速：顺时针≥22000</w:t>
            </w:r>
            <w:r>
              <w:rPr>
                <w:rFonts w:hint="eastAsia" w:ascii="宋体" w:hAnsi="宋体" w:eastAsia="宋体" w:cs="宋体"/>
                <w:sz w:val="21"/>
                <w:szCs w:val="21"/>
              </w:rPr>
              <w:t>r/min</w:t>
            </w:r>
            <w:r>
              <w:rPr>
                <w:rFonts w:hint="eastAsia" w:ascii="宋体" w:hAnsi="宋体" w:cs="宋体"/>
                <w:kern w:val="0"/>
                <w:sz w:val="21"/>
                <w:szCs w:val="21"/>
              </w:rPr>
              <w:t>；逆时针≥20000</w:t>
            </w:r>
            <w:r>
              <w:rPr>
                <w:rFonts w:hint="eastAsia" w:ascii="宋体" w:hAnsi="宋体" w:eastAsia="宋体" w:cs="宋体"/>
                <w:sz w:val="21"/>
                <w:szCs w:val="21"/>
              </w:rPr>
              <w:t>r/min</w:t>
            </w:r>
          </w:p>
          <w:p w14:paraId="5C6EC3FF">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cs="宋体"/>
                <w:kern w:val="0"/>
                <w:sz w:val="21"/>
                <w:szCs w:val="21"/>
                <w:lang w:val="en-US" w:eastAsia="zh-CN"/>
              </w:rPr>
              <w:t>4、应具备</w:t>
            </w:r>
            <w:r>
              <w:rPr>
                <w:rFonts w:hint="eastAsia" w:ascii="宋体" w:hAnsi="宋体" w:cs="宋体"/>
                <w:kern w:val="0"/>
                <w:sz w:val="21"/>
                <w:szCs w:val="21"/>
              </w:rPr>
              <w:t>外部传递</w:t>
            </w:r>
            <w:r>
              <w:rPr>
                <w:rFonts w:hint="eastAsia" w:ascii="宋体" w:hAnsi="宋体" w:cs="宋体"/>
                <w:sz w:val="21"/>
                <w:szCs w:val="21"/>
              </w:rPr>
              <w:t>冷却系统</w:t>
            </w:r>
            <w:r>
              <w:rPr>
                <w:rFonts w:hint="eastAsia" w:ascii="宋体" w:hAnsi="宋体" w:cs="宋体"/>
                <w:sz w:val="21"/>
                <w:szCs w:val="21"/>
                <w:lang w:eastAsia="zh-CN"/>
              </w:rPr>
              <w:t>。</w:t>
            </w:r>
          </w:p>
          <w:p w14:paraId="09E017EC">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应具备</w:t>
            </w:r>
            <w:r>
              <w:rPr>
                <w:rFonts w:hint="eastAsia" w:ascii="宋体" w:hAnsi="宋体" w:cs="宋体"/>
                <w:sz w:val="21"/>
                <w:szCs w:val="21"/>
              </w:rPr>
              <w:t>标准四孔接口</w:t>
            </w:r>
            <w:r>
              <w:rPr>
                <w:rFonts w:hint="eastAsia" w:ascii="宋体" w:hAnsi="宋体" w:cs="宋体"/>
                <w:sz w:val="21"/>
                <w:szCs w:val="21"/>
                <w:lang w:eastAsia="zh-CN"/>
              </w:rPr>
              <w:t>。</w:t>
            </w:r>
          </w:p>
          <w:p w14:paraId="730B46A4">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default" w:ascii="宋体" w:hAnsi="宋体" w:cs="宋体"/>
                <w:sz w:val="21"/>
                <w:szCs w:val="21"/>
                <w:lang w:val="en-US" w:eastAsia="zh-CN"/>
              </w:rPr>
            </w:pPr>
            <w:r>
              <w:rPr>
                <w:rFonts w:hint="eastAsia" w:ascii="宋体" w:hAnsi="宋体" w:eastAsia="宋体" w:cs="宋体"/>
                <w:kern w:val="0"/>
                <w:sz w:val="21"/>
                <w:szCs w:val="21"/>
                <w:lang w:val="en-US" w:eastAsia="zh-CN" w:bidi="ar-SA"/>
              </w:rPr>
              <w:t>6</w:t>
            </w:r>
            <w:r>
              <w:rPr>
                <w:rFonts w:hint="eastAsia" w:ascii="宋体" w:hAnsi="宋体" w:cs="宋体"/>
                <w:kern w:val="0"/>
                <w:sz w:val="21"/>
                <w:szCs w:val="21"/>
                <w:lang w:val="en-US" w:eastAsia="zh-CN" w:bidi="ar-SA"/>
              </w:rPr>
              <w:t>、</w:t>
            </w:r>
            <w:r>
              <w:rPr>
                <w:rFonts w:hint="eastAsia" w:ascii="宋体" w:hAnsi="宋体" w:cs="宋体"/>
                <w:kern w:val="0"/>
                <w:sz w:val="21"/>
                <w:szCs w:val="21"/>
              </w:rPr>
              <w:t>使用气压：</w:t>
            </w:r>
            <w:r>
              <w:rPr>
                <w:rFonts w:hint="eastAsia" w:ascii="宋体" w:hAnsi="宋体" w:cs="宋体"/>
                <w:kern w:val="0"/>
                <w:sz w:val="21"/>
                <w:szCs w:val="21"/>
                <w:lang w:eastAsia="zh-CN"/>
              </w:rPr>
              <w:t>在</w:t>
            </w:r>
            <w:r>
              <w:rPr>
                <w:rFonts w:hint="eastAsia" w:ascii="宋体" w:hAnsi="宋体" w:cs="宋体"/>
                <w:kern w:val="0"/>
                <w:sz w:val="21"/>
                <w:szCs w:val="21"/>
              </w:rPr>
              <w:t>0.2～0.4Mpa</w:t>
            </w:r>
            <w:r>
              <w:rPr>
                <w:rFonts w:hint="eastAsia" w:ascii="宋体" w:hAnsi="宋体" w:cs="宋体"/>
                <w:kern w:val="0"/>
                <w:sz w:val="21"/>
                <w:szCs w:val="21"/>
                <w:lang w:eastAsia="zh-CN"/>
              </w:rPr>
              <w:t>范围内。</w:t>
            </w:r>
          </w:p>
        </w:tc>
      </w:tr>
      <w:tr w14:paraId="65C39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3" w:hRule="atLeast"/>
          <w:jc w:val="center"/>
        </w:trPr>
        <w:tc>
          <w:tcPr>
            <w:tcW w:w="1418" w:type="dxa"/>
            <w:tcBorders>
              <w:left w:val="single" w:color="auto" w:sz="4" w:space="0"/>
            </w:tcBorders>
            <w:noWrap w:val="0"/>
            <w:vAlign w:val="center"/>
          </w:tcPr>
          <w:p w14:paraId="6372A40E">
            <w:pPr>
              <w:pStyle w:val="24"/>
              <w:keepNext w:val="0"/>
              <w:keepLines w:val="0"/>
              <w:pageBreakBefore w:val="0"/>
              <w:kinsoku/>
              <w:wordWrap/>
              <w:overflowPunct/>
              <w:topLinePunct w:val="0"/>
              <w:autoSpaceDE/>
              <w:autoSpaceDN/>
              <w:bidi w:val="0"/>
              <w:adjustRightInd/>
              <w:snapToGrid/>
              <w:jc w:val="center"/>
              <w:textAlignment w:val="auto"/>
              <w:rPr>
                <w:rFonts w:hint="eastAsia" w:eastAsia="宋体"/>
                <w:sz w:val="21"/>
                <w:lang w:eastAsia="zh-CN"/>
              </w:rPr>
            </w:pPr>
            <w:r>
              <w:rPr>
                <w:rFonts w:hint="eastAsia" w:ascii="宋体" w:hAnsi="宋体" w:eastAsia="宋体" w:cs="宋体"/>
                <w:sz w:val="21"/>
                <w:szCs w:val="21"/>
                <w:lang w:val="en-US" w:eastAsia="zh-CN"/>
              </w:rPr>
              <w:t>配置要求</w:t>
            </w:r>
          </w:p>
        </w:tc>
        <w:tc>
          <w:tcPr>
            <w:tcW w:w="7599" w:type="dxa"/>
            <w:tcBorders>
              <w:left w:val="single" w:color="auto" w:sz="4" w:space="0"/>
            </w:tcBorders>
            <w:noWrap w:val="0"/>
            <w:vAlign w:val="center"/>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114"/>
              <w:gridCol w:w="1403"/>
            </w:tblGrid>
            <w:tr w14:paraId="289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7" w:type="dxa"/>
                  <w:noWrap w:val="0"/>
                  <w:tcMar>
                    <w:top w:w="0" w:type="dxa"/>
                    <w:left w:w="105" w:type="dxa"/>
                    <w:bottom w:w="0" w:type="dxa"/>
                    <w:right w:w="105" w:type="dxa"/>
                  </w:tcMar>
                  <w:vAlign w:val="top"/>
                </w:tcPr>
                <w:p w14:paraId="4FE71FBA">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114" w:type="dxa"/>
                  <w:noWrap w:val="0"/>
                  <w:tcMar>
                    <w:top w:w="0" w:type="dxa"/>
                    <w:left w:w="105" w:type="dxa"/>
                    <w:bottom w:w="0" w:type="dxa"/>
                    <w:right w:w="105" w:type="dxa"/>
                  </w:tcMar>
                  <w:vAlign w:val="top"/>
                </w:tcPr>
                <w:p w14:paraId="2B1ED094">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403" w:type="dxa"/>
                  <w:noWrap w:val="0"/>
                  <w:tcMar>
                    <w:top w:w="0" w:type="dxa"/>
                    <w:left w:w="105" w:type="dxa"/>
                    <w:bottom w:w="0" w:type="dxa"/>
                    <w:right w:w="105" w:type="dxa"/>
                  </w:tcMar>
                  <w:vAlign w:val="top"/>
                </w:tcPr>
                <w:p w14:paraId="02CCDD9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2AE2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0653F8F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114" w:type="dxa"/>
                  <w:noWrap w:val="0"/>
                  <w:tcMar>
                    <w:top w:w="0" w:type="dxa"/>
                    <w:left w:w="105" w:type="dxa"/>
                    <w:bottom w:w="0" w:type="dxa"/>
                    <w:right w:w="105" w:type="dxa"/>
                  </w:tcMar>
                  <w:vAlign w:val="top"/>
                </w:tcPr>
                <w:p w14:paraId="2CEBC1CB">
                  <w:pPr>
                    <w:pStyle w:val="24"/>
                    <w:jc w:val="center"/>
                    <w:rPr>
                      <w:rFonts w:hint="default" w:ascii="宋体" w:hAnsi="宋体" w:eastAsia="宋体" w:cs="宋体"/>
                      <w:sz w:val="21"/>
                      <w:szCs w:val="21"/>
                      <w:lang w:val="en-US" w:eastAsia="zh-CN"/>
                    </w:rPr>
                  </w:pPr>
                  <w:r>
                    <w:rPr>
                      <w:rFonts w:hint="eastAsia" w:eastAsia="宋体"/>
                      <w:sz w:val="21"/>
                      <w:shd w:val="clear" w:color="auto" w:fill="FFFFFF"/>
                      <w:lang w:val="en-US" w:eastAsia="zh-CN"/>
                    </w:rPr>
                    <w:t>牙科气动马达</w:t>
                  </w:r>
                </w:p>
              </w:tc>
              <w:tc>
                <w:tcPr>
                  <w:tcW w:w="1403" w:type="dxa"/>
                  <w:noWrap w:val="0"/>
                  <w:tcMar>
                    <w:top w:w="0" w:type="dxa"/>
                    <w:left w:w="105" w:type="dxa"/>
                    <w:bottom w:w="0" w:type="dxa"/>
                    <w:right w:w="105" w:type="dxa"/>
                  </w:tcMar>
                  <w:vAlign w:val="top"/>
                </w:tcPr>
                <w:p w14:paraId="7127ECA4">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1把</w:t>
                  </w:r>
                </w:p>
              </w:tc>
            </w:tr>
            <w:tr w14:paraId="35DB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738E6B8E">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114" w:type="dxa"/>
                  <w:noWrap w:val="0"/>
                  <w:tcMar>
                    <w:top w:w="0" w:type="dxa"/>
                    <w:left w:w="105" w:type="dxa"/>
                    <w:bottom w:w="0" w:type="dxa"/>
                    <w:right w:w="105" w:type="dxa"/>
                  </w:tcMar>
                  <w:vAlign w:val="top"/>
                </w:tcPr>
                <w:p w14:paraId="59B85D5F">
                  <w:pPr>
                    <w:pStyle w:val="2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使用说明书</w:t>
                  </w:r>
                </w:p>
              </w:tc>
              <w:tc>
                <w:tcPr>
                  <w:tcW w:w="1403" w:type="dxa"/>
                  <w:noWrap w:val="0"/>
                  <w:tcMar>
                    <w:top w:w="0" w:type="dxa"/>
                    <w:left w:w="105" w:type="dxa"/>
                    <w:bottom w:w="0" w:type="dxa"/>
                    <w:right w:w="105" w:type="dxa"/>
                  </w:tcMar>
                  <w:vAlign w:val="top"/>
                </w:tcPr>
                <w:p w14:paraId="5C3436C4">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bl>
          <w:p w14:paraId="1D4090FB">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kern w:val="2"/>
                <w:sz w:val="21"/>
                <w:lang w:val="en-US" w:eastAsia="zh-CN" w:bidi="ar-SA"/>
              </w:rPr>
            </w:pPr>
          </w:p>
        </w:tc>
      </w:tr>
    </w:tbl>
    <w:p w14:paraId="78643620">
      <w:pPr>
        <w:pStyle w:val="24"/>
        <w:numPr>
          <w:ilvl w:val="0"/>
          <w:numId w:val="3"/>
        </w:numPr>
        <w:ind w:left="0" w:leftChars="0" w:firstLine="0" w:firstLineChars="0"/>
        <w:rPr>
          <w:rFonts w:hint="eastAsia" w:ascii="宋体" w:hAnsi="宋体" w:eastAsia="宋体" w:cs="宋体"/>
          <w:b/>
          <w:bCs/>
          <w:color w:val="auto"/>
          <w:kern w:val="28"/>
          <w:sz w:val="21"/>
          <w:szCs w:val="21"/>
          <w:highlight w:val="none"/>
          <w:vertAlign w:val="baseline"/>
          <w:lang w:val="en-US" w:eastAsia="zh-CN"/>
        </w:rPr>
      </w:pPr>
      <w:r>
        <w:rPr>
          <w:rFonts w:hint="eastAsia" w:ascii="宋体" w:hAnsi="宋体" w:cs="宋体"/>
          <w:b/>
          <w:bCs/>
          <w:color w:val="auto"/>
          <w:kern w:val="28"/>
          <w:sz w:val="21"/>
          <w:szCs w:val="21"/>
          <w:highlight w:val="none"/>
          <w:vertAlign w:val="baseline"/>
          <w:lang w:val="en-US" w:eastAsia="zh-CN"/>
        </w:rPr>
        <w:t>牙科弯手机</w:t>
      </w:r>
    </w:p>
    <w:tbl>
      <w:tblPr>
        <w:tblStyle w:val="12"/>
        <w:tblW w:w="92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9"/>
        <w:gridCol w:w="7490"/>
      </w:tblGrid>
      <w:tr w14:paraId="17D88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jc w:val="center"/>
        </w:trPr>
        <w:tc>
          <w:tcPr>
            <w:tcW w:w="1749" w:type="dxa"/>
            <w:noWrap w:val="0"/>
            <w:vAlign w:val="center"/>
          </w:tcPr>
          <w:p w14:paraId="30159827">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参数类别</w:t>
            </w:r>
          </w:p>
        </w:tc>
        <w:tc>
          <w:tcPr>
            <w:tcW w:w="7490" w:type="dxa"/>
            <w:noWrap w:val="0"/>
            <w:vAlign w:val="top"/>
          </w:tcPr>
          <w:p w14:paraId="7A42302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8D84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2" w:hRule="atLeast"/>
          <w:jc w:val="center"/>
        </w:trPr>
        <w:tc>
          <w:tcPr>
            <w:tcW w:w="1749" w:type="dxa"/>
            <w:noWrap w:val="0"/>
            <w:vAlign w:val="center"/>
          </w:tcPr>
          <w:p w14:paraId="0CDE826C">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整体性能要求</w:t>
            </w:r>
          </w:p>
        </w:tc>
        <w:tc>
          <w:tcPr>
            <w:tcW w:w="7490" w:type="dxa"/>
            <w:noWrap w:val="0"/>
            <w:vAlign w:val="center"/>
          </w:tcPr>
          <w:p w14:paraId="78DC6EE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1、适用范围：适用于口腔科切削、打磨牙齿。</w:t>
            </w:r>
          </w:p>
          <w:p w14:paraId="076D652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2、▲可允许最大转速：≥30000转 扭矩：≥4N·cm。</w:t>
            </w:r>
          </w:p>
          <w:p w14:paraId="4941EF5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3、应为无缝隙的一体化机身，应具备外部传递冷却系统。</w:t>
            </w:r>
          </w:p>
          <w:p w14:paraId="67B6938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4、转速比：1:1等速。</w:t>
            </w:r>
          </w:p>
          <w:p w14:paraId="2A087A5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Cs w:val="21"/>
                <w:lang w:val="en-US" w:eastAsia="zh-CN"/>
              </w:rPr>
            </w:pPr>
            <w:r>
              <w:rPr>
                <w:rFonts w:hint="eastAsia" w:ascii="宋体" w:hAnsi="宋体" w:eastAsia="宋体" w:cs="宋体"/>
                <w:kern w:val="0"/>
                <w:sz w:val="21"/>
                <w:szCs w:val="21"/>
                <w:lang w:val="en-US" w:eastAsia="zh-CN"/>
              </w:rPr>
              <w:t>5、适配车针类型：ISO 1797-1 (EN ISO 1797-1) Type1φ2.35mm CA车针。</w:t>
            </w:r>
          </w:p>
        </w:tc>
      </w:tr>
      <w:tr w14:paraId="675D1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4" w:hRule="atLeast"/>
          <w:jc w:val="center"/>
        </w:trPr>
        <w:tc>
          <w:tcPr>
            <w:tcW w:w="1749" w:type="dxa"/>
            <w:noWrap w:val="0"/>
            <w:vAlign w:val="center"/>
          </w:tcPr>
          <w:p w14:paraId="63A8FC9A">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配置要求</w:t>
            </w:r>
          </w:p>
        </w:tc>
        <w:tc>
          <w:tcPr>
            <w:tcW w:w="7490" w:type="dxa"/>
            <w:noWrap w:val="0"/>
            <w:vAlign w:val="center"/>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5114"/>
              <w:gridCol w:w="1403"/>
            </w:tblGrid>
            <w:tr w14:paraId="6EA5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7" w:type="dxa"/>
                  <w:noWrap w:val="0"/>
                  <w:tcMar>
                    <w:top w:w="0" w:type="dxa"/>
                    <w:left w:w="105" w:type="dxa"/>
                    <w:bottom w:w="0" w:type="dxa"/>
                    <w:right w:w="105" w:type="dxa"/>
                  </w:tcMar>
                  <w:vAlign w:val="top"/>
                </w:tcPr>
                <w:p w14:paraId="4EC9AAFE">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114" w:type="dxa"/>
                  <w:noWrap w:val="0"/>
                  <w:tcMar>
                    <w:top w:w="0" w:type="dxa"/>
                    <w:left w:w="105" w:type="dxa"/>
                    <w:bottom w:w="0" w:type="dxa"/>
                    <w:right w:w="105" w:type="dxa"/>
                  </w:tcMar>
                  <w:vAlign w:val="top"/>
                </w:tcPr>
                <w:p w14:paraId="692AB5FD">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403" w:type="dxa"/>
                  <w:noWrap w:val="0"/>
                  <w:tcMar>
                    <w:top w:w="0" w:type="dxa"/>
                    <w:left w:w="105" w:type="dxa"/>
                    <w:bottom w:w="0" w:type="dxa"/>
                    <w:right w:w="105" w:type="dxa"/>
                  </w:tcMar>
                  <w:vAlign w:val="top"/>
                </w:tcPr>
                <w:p w14:paraId="4D04B486">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616D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3E65A9F4">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114" w:type="dxa"/>
                  <w:noWrap w:val="0"/>
                  <w:tcMar>
                    <w:top w:w="0" w:type="dxa"/>
                    <w:left w:w="105" w:type="dxa"/>
                    <w:bottom w:w="0" w:type="dxa"/>
                    <w:right w:w="105" w:type="dxa"/>
                  </w:tcMar>
                  <w:vAlign w:val="top"/>
                </w:tcPr>
                <w:p w14:paraId="3B893AC4">
                  <w:pPr>
                    <w:pStyle w:val="24"/>
                    <w:jc w:val="center"/>
                    <w:rPr>
                      <w:rFonts w:hint="eastAsia" w:ascii="宋体" w:hAnsi="宋体" w:eastAsia="宋体" w:cs="宋体"/>
                      <w:sz w:val="21"/>
                      <w:szCs w:val="21"/>
                      <w:lang w:val="en-US" w:eastAsia="zh-CN"/>
                    </w:rPr>
                  </w:pPr>
                  <w:r>
                    <w:rPr>
                      <w:rFonts w:hint="eastAsia" w:eastAsia="宋体"/>
                      <w:sz w:val="21"/>
                      <w:shd w:val="clear" w:color="auto" w:fill="FFFFFF"/>
                    </w:rPr>
                    <w:t>牙科弯手机</w:t>
                  </w:r>
                </w:p>
              </w:tc>
              <w:tc>
                <w:tcPr>
                  <w:tcW w:w="1403" w:type="dxa"/>
                  <w:noWrap w:val="0"/>
                  <w:tcMar>
                    <w:top w:w="0" w:type="dxa"/>
                    <w:left w:w="105" w:type="dxa"/>
                    <w:bottom w:w="0" w:type="dxa"/>
                    <w:right w:w="105" w:type="dxa"/>
                  </w:tcMar>
                  <w:vAlign w:val="top"/>
                </w:tcPr>
                <w:p w14:paraId="658866AF">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1把</w:t>
                  </w:r>
                </w:p>
              </w:tc>
            </w:tr>
            <w:tr w14:paraId="275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7408C501">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114" w:type="dxa"/>
                  <w:noWrap w:val="0"/>
                  <w:tcMar>
                    <w:top w:w="0" w:type="dxa"/>
                    <w:left w:w="105" w:type="dxa"/>
                    <w:bottom w:w="0" w:type="dxa"/>
                    <w:right w:w="105" w:type="dxa"/>
                  </w:tcMar>
                  <w:vAlign w:val="top"/>
                </w:tcPr>
                <w:p w14:paraId="6F9BE374">
                  <w:pPr>
                    <w:pStyle w:val="2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使用说明书</w:t>
                  </w:r>
                </w:p>
              </w:tc>
              <w:tc>
                <w:tcPr>
                  <w:tcW w:w="1403" w:type="dxa"/>
                  <w:noWrap w:val="0"/>
                  <w:tcMar>
                    <w:top w:w="0" w:type="dxa"/>
                    <w:left w:w="105" w:type="dxa"/>
                    <w:bottom w:w="0" w:type="dxa"/>
                    <w:right w:w="105" w:type="dxa"/>
                  </w:tcMar>
                  <w:vAlign w:val="top"/>
                </w:tcPr>
                <w:p w14:paraId="6F3A4CD8">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bl>
          <w:p w14:paraId="26738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contextualSpacing/>
              <w:textAlignment w:val="auto"/>
              <w:rPr>
                <w:rFonts w:hint="eastAsia" w:ascii="宋体" w:hAnsi="宋体" w:eastAsia="宋体" w:cs="宋体"/>
                <w:sz w:val="21"/>
                <w:szCs w:val="21"/>
                <w:lang w:val="en-US" w:eastAsia="zh-CN" w:bidi="ar-SA"/>
              </w:rPr>
            </w:pPr>
          </w:p>
        </w:tc>
      </w:tr>
    </w:tbl>
    <w:p w14:paraId="36B31DF4">
      <w:pPr>
        <w:pStyle w:val="24"/>
        <w:numPr>
          <w:ilvl w:val="0"/>
          <w:numId w:val="0"/>
        </w:numPr>
        <w:ind w:leftChars="0"/>
        <w:rPr>
          <w:b/>
        </w:rPr>
      </w:pPr>
    </w:p>
    <w:p w14:paraId="3E0E2554">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四、商务要求</w:t>
      </w:r>
    </w:p>
    <w:p w14:paraId="4006B8B3">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（一）报价要求</w:t>
      </w:r>
    </w:p>
    <w:p w14:paraId="155DECE4">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1.本项</w:t>
      </w:r>
      <w:r>
        <w:rPr>
          <w:rFonts w:hint="eastAsia" w:ascii="仿宋_GB2312" w:hAnsi="仿宋_GB2312" w:eastAsia="仿宋_GB2312" w:cs="仿宋_GB2312"/>
          <w:color w:val="auto"/>
          <w:sz w:val="24"/>
          <w:szCs w:val="24"/>
          <w:highlight w:val="none"/>
          <w:lang w:val="en-US" w:eastAsia="zh-CN"/>
        </w:rPr>
        <w:t>目总报价最高上限价</w:t>
      </w:r>
      <w:r>
        <w:rPr>
          <w:rFonts w:hint="eastAsia" w:ascii="仿宋_GB2312" w:hAnsi="仿宋_GB2312" w:eastAsia="仿宋_GB2312" w:cs="仿宋_GB2312"/>
          <w:color w:val="auto"/>
          <w:sz w:val="24"/>
          <w:szCs w:val="24"/>
          <w:highlight w:val="none"/>
          <w:u w:val="single"/>
          <w:lang w:val="en-US" w:eastAsia="zh-CN"/>
        </w:rPr>
        <w:t>75000</w:t>
      </w:r>
      <w:r>
        <w:rPr>
          <w:rFonts w:hint="eastAsia" w:ascii="仿宋_GB2312" w:hAnsi="仿宋_GB2312" w:eastAsia="仿宋_GB2312" w:cs="仿宋_GB2312"/>
          <w:color w:val="auto"/>
          <w:sz w:val="24"/>
          <w:szCs w:val="24"/>
          <w:highlight w:val="none"/>
          <w:lang w:val="en-US" w:eastAsia="zh-CN"/>
        </w:rPr>
        <w:t>元，报价高于本项目最高上限价的为无效报价。</w:t>
      </w:r>
    </w:p>
    <w:p w14:paraId="7653C2ED">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2.供应商报价应包括完成项目所必须的全部货物、税费、运费、保险费、仓储费、质保、安装调试、售后服务等全部费用。报价以人民币为货币单位，单价、小计和总价应清楚表达。</w:t>
      </w:r>
    </w:p>
    <w:p w14:paraId="41BD08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3.本</w:t>
      </w:r>
      <w:r>
        <w:rPr>
          <w:rFonts w:hint="eastAsia" w:ascii="仿宋_GB2312" w:hAnsi="仿宋_GB2312" w:eastAsia="仿宋_GB2312" w:cs="仿宋_GB2312"/>
          <w:color w:val="auto"/>
          <w:sz w:val="24"/>
          <w:szCs w:val="24"/>
          <w:lang w:val="en-US" w:eastAsia="zh-CN"/>
        </w:rPr>
        <w:t>项目由成交供应商负</w:t>
      </w:r>
      <w:r>
        <w:rPr>
          <w:rFonts w:hint="eastAsia" w:ascii="仿宋_GB2312" w:hAnsi="仿宋_GB2312" w:eastAsia="仿宋_GB2312" w:cs="仿宋_GB2312"/>
          <w:sz w:val="24"/>
          <w:szCs w:val="24"/>
          <w:lang w:val="en-US" w:eastAsia="zh-CN"/>
        </w:rPr>
        <w:t>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4.货币：人民币。</w:t>
      </w:r>
    </w:p>
    <w:p w14:paraId="0C1984B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（二）到货及安装地点、时间</w:t>
      </w:r>
    </w:p>
    <w:p w14:paraId="32AC02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1.到货及安装地点：中山市口腔医院</w:t>
      </w:r>
    </w:p>
    <w:p w14:paraId="7924A4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2.交</w:t>
      </w:r>
      <w:r>
        <w:rPr>
          <w:rFonts w:hint="eastAsia" w:ascii="仿宋_GB2312" w:hAnsi="仿宋_GB2312" w:eastAsia="仿宋_GB2312" w:cs="仿宋_GB2312"/>
          <w:color w:val="auto"/>
          <w:sz w:val="24"/>
          <w:szCs w:val="24"/>
          <w:highlight w:val="none"/>
          <w:lang w:val="en-US" w:eastAsia="zh-CN"/>
        </w:rPr>
        <w:t>付时间：接到采购人通知后</w:t>
      </w:r>
      <w:r>
        <w:rPr>
          <w:rFonts w:hint="eastAsia" w:ascii="仿宋_GB2312" w:hAnsi="仿宋_GB2312" w:eastAsia="仿宋_GB2312" w:cs="仿宋_GB2312"/>
          <w:color w:val="auto"/>
          <w:sz w:val="24"/>
          <w:szCs w:val="24"/>
          <w:highlight w:val="none"/>
          <w:u w:val="single"/>
          <w:lang w:val="en-US" w:eastAsia="zh-CN"/>
        </w:rPr>
        <w:t xml:space="preserve"> 5</w:t>
      </w:r>
      <w:r>
        <w:rPr>
          <w:rFonts w:hint="eastAsia" w:ascii="仿宋_GB2312" w:hAnsi="仿宋_GB2312" w:eastAsia="仿宋_GB2312" w:cs="仿宋_GB2312"/>
          <w:color w:val="auto"/>
          <w:sz w:val="24"/>
          <w:szCs w:val="24"/>
          <w:highlight w:val="none"/>
          <w:lang w:val="en-US" w:eastAsia="zh-CN"/>
        </w:rPr>
        <w:t>日内完成供货并安装调试至正常使用状态。</w:t>
      </w:r>
    </w:p>
    <w:p w14:paraId="0A8AC43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（三）包装及运输</w:t>
      </w:r>
    </w:p>
    <w:p w14:paraId="44AA86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由成交供应商直接派人将货物运送至采购人指定科室，设备、配件送到现场过程中的全部运输，包括装卸车、货物现场的搬运，费用由成交供应商负责。不接受成交供应商以物流或快递等形式发货，否则，采购人将不予签收和验收。</w:t>
      </w:r>
    </w:p>
    <w:p w14:paraId="38FDE908">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4.货物在现场的保管由成交供应商负责，直至项目安装、验收完毕。</w:t>
      </w:r>
    </w:p>
    <w:p w14:paraId="68348A9F">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5.包装费、运费已包含在合同价内。</w:t>
      </w:r>
    </w:p>
    <w:p w14:paraId="66F6D57F">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（四）质保期及售后服务要求</w:t>
      </w:r>
    </w:p>
    <w:p w14:paraId="50510F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1.质量保证</w:t>
      </w:r>
    </w:p>
    <w:p w14:paraId="4C943D7F">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1.1光固化机原厂质保期不少于</w:t>
      </w:r>
      <w:r>
        <w:rPr>
          <w:rFonts w:hint="eastAsia" w:ascii="仿宋_GB2312" w:hAnsi="仿宋_GB2312" w:eastAsia="仿宋_GB2312" w:cs="仿宋_GB2312"/>
          <w:color w:val="auto"/>
          <w:sz w:val="24"/>
          <w:szCs w:val="24"/>
          <w:highlight w:val="none"/>
          <w:u w:val="single"/>
          <w:lang w:val="en-US" w:eastAsia="zh-CN"/>
        </w:rPr>
        <w:t xml:space="preserve"> 3 </w:t>
      </w:r>
      <w:r>
        <w:rPr>
          <w:rFonts w:hint="eastAsia" w:ascii="仿宋_GB2312" w:hAnsi="仿宋_GB2312" w:eastAsia="仿宋_GB2312" w:cs="仿宋_GB2312"/>
          <w:color w:val="auto"/>
          <w:sz w:val="24"/>
          <w:szCs w:val="24"/>
          <w:highlight w:val="none"/>
          <w:lang w:val="en-US" w:eastAsia="zh-CN"/>
        </w:rPr>
        <w:t>年，牙科气动马达、牙科弯手机原厂质保期不少于</w:t>
      </w:r>
      <w:r>
        <w:rPr>
          <w:rFonts w:hint="eastAsia" w:ascii="仿宋_GB2312" w:hAnsi="仿宋_GB2312" w:eastAsia="仿宋_GB2312" w:cs="仿宋_GB2312"/>
          <w:color w:val="auto"/>
          <w:sz w:val="24"/>
          <w:szCs w:val="24"/>
          <w:highlight w:val="none"/>
          <w:u w:val="single"/>
          <w:lang w:val="en-US" w:eastAsia="zh-CN"/>
        </w:rPr>
        <w:t xml:space="preserve"> 1</w:t>
      </w:r>
      <w:r>
        <w:rPr>
          <w:rFonts w:hint="eastAsia" w:ascii="仿宋_GB2312" w:hAnsi="仿宋_GB2312" w:eastAsia="仿宋_GB2312" w:cs="仿宋_GB2312"/>
          <w:color w:val="auto"/>
          <w:sz w:val="24"/>
          <w:szCs w:val="24"/>
          <w:highlight w:val="none"/>
          <w:lang w:val="en-US" w:eastAsia="zh-CN"/>
        </w:rPr>
        <w:t>年。</w:t>
      </w:r>
    </w:p>
    <w:p w14:paraId="4DA7A5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1.2成交供应商保证设备是全新、未曾使用过的，其质量、规格及技术特征符合项目需求书及合同的要求，必须对交付的货物在质保期内及质保期外承担质量保修责任。</w:t>
      </w:r>
    </w:p>
    <w:p w14:paraId="40133C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质保期内维修及零配件更换的一切费用由成交供应商负责，如果需要更换配件的，更换的配件跟被更换的品牌、类型相一致或者是同类更高档次的替代品，后者需征得采购人同意。如设备或零部件因非人为因素出现故障而造成短期停用时，或因成交供应商原因造成停机，质保期依时顺延保修期的期限。</w:t>
      </w:r>
    </w:p>
    <w:p w14:paraId="3DE25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保修期内非因采购人的人为原因而出现产品质量及安装问题，由成交供应商负责包修、包换或包退，并承担因此而产生的一切费用。成交供应商在保修期内应确保正常使用率为95%以上，如达不到此要求，即按故障时间（以报修时间起算）的3倍延长保修期。</w:t>
      </w:r>
    </w:p>
    <w:p w14:paraId="01C03B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1.5成交供应商负责设备的终身维修并应提供优质的售后服务，成交供应商需列明质保期满后的年度售后服务费用（全保费用）。</w:t>
      </w:r>
    </w:p>
    <w:p w14:paraId="26668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2.售后服务</w:t>
      </w:r>
    </w:p>
    <w:p w14:paraId="6A5A17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2.1质保期满后，若有设备出现故障，属于寿命异常问题（明显短于该零部件正常寿命）时，则由成交供应商负责免费更换及维修。</w:t>
      </w:r>
    </w:p>
    <w:p w14:paraId="754CB4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2.2质保期满后，应采购人要求，成交供应商应（参考当时的市场价格）按优惠价格与采购人签订定期维修保养合同及提供采购人所需零配件。</w:t>
      </w:r>
    </w:p>
    <w:p w14:paraId="5B5809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2.3在备件停止生产的情况下，成交供应商应事先将要停止生产的计划通知采购人，使采购人有足够的时间采购所需备件；在备件停止生产后，成交供应商应免费向采购提供备件的图纸、资料。</w:t>
      </w:r>
    </w:p>
    <w:p w14:paraId="3FD98B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2.4要求售后服务为生产原厂家负责，成交供应商提供厂家售后服务承诺书。</w:t>
      </w:r>
    </w:p>
    <w:p w14:paraId="32084268">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（五）结算及付款方式</w:t>
      </w:r>
    </w:p>
    <w:p w14:paraId="2D3F53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1.合同设备全部到采购人指定科室交付并完成安装调试至正常使用状态后申请验收，验收合格后成交供应商向采购人提交申请款项支付资料之后30个工作日内，采购人向成交供应商支付100%合同款项。</w:t>
      </w:r>
    </w:p>
    <w:p w14:paraId="18687B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2.本合同款项以人民币通过银行转账方式结算，乙方凭以下资料申请款项支付：</w:t>
      </w:r>
    </w:p>
    <w:p w14:paraId="68F74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①合同复印件；②验收合格报告；③乙方开具对应款项的正规全额发票和对应款项收据。</w:t>
      </w:r>
    </w:p>
    <w:p w14:paraId="64A44D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仿宋_GB2312" w:hAnsi="仿宋_GB2312" w:eastAsia="仿宋_GB2312" w:cs="仿宋_GB2312"/>
          <w:b/>
          <w:sz w:val="28"/>
          <w:szCs w:val="28"/>
          <w:lang w:val="en-US" w:eastAsia="zh-CN"/>
        </w:rPr>
      </w:pPr>
      <w:bookmarkStart w:id="0" w:name="_Toc259090960"/>
      <w:r>
        <w:rPr>
          <w:rFonts w:hint="eastAsia" w:ascii="仿宋_GB2312" w:hAnsi="仿宋_GB2312" w:eastAsia="仿宋_GB2312" w:cs="仿宋_GB2312"/>
          <w:b/>
          <w:sz w:val="28"/>
          <w:szCs w:val="28"/>
          <w:lang w:val="en-US" w:eastAsia="zh-CN"/>
        </w:rPr>
        <w:t>五、评审方法</w:t>
      </w:r>
    </w:p>
    <w:p w14:paraId="2DD045D6">
      <w:pPr>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经评审的综合评分：由评审委员会从需求响应方面和价格方面进行综合评审，符合用户需求且报价最低的为排名第一，排名第一的推荐为拟成交供应商。</w:t>
      </w:r>
    </w:p>
    <w:p w14:paraId="4FBE916E">
      <w:pPr>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注：如报价相同时，可根据供货时间、服务便利性等因素择优推荐排名。</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六、合同订立 </w:t>
      </w:r>
    </w:p>
    <w:p w14:paraId="194861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定标程序：采购人按照评审汇总表确定排名第一的为成交供应商。</w:t>
      </w:r>
    </w:p>
    <w:p w14:paraId="213024B8">
      <w:pPr>
        <w:bidi w:val="0"/>
        <w:rPr>
          <w:rFonts w:hint="eastAsia" w:ascii="仿宋_GB2312" w:hAnsi="仿宋_GB2312" w:eastAsia="仿宋_GB2312" w:cs="仿宋_GB2312"/>
          <w:sz w:val="24"/>
          <w:szCs w:val="24"/>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jc w:val="left"/>
        <w:rPr>
          <w:rFonts w:hint="eastAsia" w:ascii="仿宋_GB2312" w:hAnsi="仿宋_GB2312" w:eastAsia="仿宋_GB2312" w:cs="仿宋_GB2312"/>
          <w:i/>
          <w:iCs/>
          <w:color w:val="FF0000"/>
          <w:sz w:val="28"/>
          <w:szCs w:val="28"/>
          <w:highlight w:val="yellow"/>
          <w:lang w:eastAsia="zh-CN"/>
        </w:rPr>
      </w:pPr>
      <w:r>
        <w:rPr>
          <w:rFonts w:hint="eastAsia" w:ascii="仿宋_GB2312" w:hAnsi="仿宋_GB2312" w:eastAsia="仿宋_GB2312" w:cs="仿宋_GB2312"/>
          <w:sz w:val="28"/>
          <w:szCs w:val="28"/>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7"/>
        <w:gridCol w:w="1295"/>
        <w:gridCol w:w="6816"/>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评审因素</w:t>
            </w:r>
          </w:p>
        </w:tc>
        <w:tc>
          <w:tcPr>
            <w:tcW w:w="8111" w:type="dxa"/>
            <w:gridSpan w:val="2"/>
            <w:noWrap/>
          </w:tcPr>
          <w:p w14:paraId="22C1D79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noWrap/>
            <w:vAlign w:val="center"/>
          </w:tcPr>
          <w:p w14:paraId="37EEF424">
            <w:pPr>
              <w:spacing w:line="360" w:lineRule="auto"/>
              <w:jc w:val="center"/>
              <w:rPr>
                <w:rFonts w:hint="eastAsia" w:ascii="仿宋_GB2312" w:hAnsi="仿宋_GB2312" w:eastAsia="仿宋_GB2312" w:cs="仿宋_GB2312"/>
                <w:color w:val="auto"/>
                <w:sz w:val="24"/>
                <w:szCs w:val="24"/>
                <w:highlight w:val="none"/>
              </w:rPr>
            </w:pPr>
            <w:bookmarkStart w:id="1" w:name="_GoBack" w:colFirst="0" w:colLast="2"/>
            <w:r>
              <w:rPr>
                <w:rFonts w:hint="eastAsia" w:ascii="仿宋_GB2312" w:hAnsi="仿宋_GB2312" w:eastAsia="仿宋_GB2312" w:cs="仿宋_GB2312"/>
                <w:color w:val="auto"/>
                <w:sz w:val="24"/>
                <w:szCs w:val="24"/>
                <w:highlight w:val="none"/>
              </w:rPr>
              <w:t>分值构成</w:t>
            </w:r>
          </w:p>
        </w:tc>
        <w:tc>
          <w:tcPr>
            <w:tcW w:w="8111" w:type="dxa"/>
            <w:gridSpan w:val="2"/>
            <w:noWrap/>
          </w:tcPr>
          <w:p w14:paraId="0EE8D9D7">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商务技术</w:t>
            </w:r>
            <w:r>
              <w:rPr>
                <w:rFonts w:hint="eastAsia" w:ascii="仿宋_GB2312" w:hAnsi="仿宋_GB2312" w:eastAsia="仿宋_GB2312" w:cs="仿宋_GB2312"/>
                <w:color w:val="auto"/>
                <w:sz w:val="24"/>
                <w:szCs w:val="24"/>
                <w:highlight w:val="none"/>
              </w:rPr>
              <w:t>部分</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.0分</w:t>
            </w:r>
          </w:p>
          <w:p w14:paraId="291C36ED">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价格得分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0.0分</w:t>
            </w:r>
          </w:p>
        </w:tc>
      </w:tr>
      <w:bookmarkEnd w:id="1"/>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restart"/>
            <w:noWrap/>
            <w:vAlign w:val="center"/>
          </w:tcPr>
          <w:p w14:paraId="13D6E9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w:t>
            </w:r>
            <w:r>
              <w:rPr>
                <w:rFonts w:hint="eastAsia" w:ascii="仿宋_GB2312" w:hAnsi="仿宋_GB2312" w:eastAsia="仿宋_GB2312" w:cs="仿宋_GB2312"/>
                <w:sz w:val="24"/>
                <w:szCs w:val="24"/>
              </w:rPr>
              <w:t>技术部分</w:t>
            </w:r>
          </w:p>
          <w:p w14:paraId="4E05E5EA">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rPr>
              <w:t>分）</w:t>
            </w:r>
          </w:p>
        </w:tc>
        <w:tc>
          <w:tcPr>
            <w:tcW w:w="1295" w:type="dxa"/>
            <w:noWrap/>
            <w:vAlign w:val="center"/>
          </w:tcPr>
          <w:p w14:paraId="289F16E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供货方案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6816" w:type="dxa"/>
            <w:noWrap/>
          </w:tcPr>
          <w:p w14:paraId="5548A678">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根据供应商提供的供货方案（应包含供货时间安排、运输方案等）进行评分：</w:t>
            </w:r>
          </w:p>
          <w:p w14:paraId="731F5491">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 xml:space="preserve">1、供货快速，能满足本项目需求，且方案有可靠、有保障的，得 </w:t>
            </w:r>
            <w:r>
              <w:rPr>
                <w:rFonts w:hint="eastAsia" w:ascii="仿宋_GB2312" w:hAnsi="仿宋_GB2312" w:eastAsia="仿宋_GB2312" w:cs="仿宋_GB2312"/>
                <w:spacing w:val="-6"/>
                <w:sz w:val="24"/>
                <w:szCs w:val="24"/>
                <w:lang w:val="en-US" w:eastAsia="zh-CN"/>
              </w:rPr>
              <w:t>2</w:t>
            </w:r>
            <w:r>
              <w:rPr>
                <w:rFonts w:hint="eastAsia" w:ascii="仿宋_GB2312" w:hAnsi="仿宋_GB2312" w:eastAsia="仿宋_GB2312" w:cs="仿宋_GB2312"/>
                <w:spacing w:val="-6"/>
                <w:sz w:val="24"/>
                <w:szCs w:val="24"/>
              </w:rPr>
              <w:t>0分；</w:t>
            </w:r>
          </w:p>
          <w:p w14:paraId="71C2FB80">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2、供货迅速，能满足本项目需求，方案较可靠，较有保障得，得</w:t>
            </w:r>
            <w:r>
              <w:rPr>
                <w:rFonts w:hint="eastAsia" w:ascii="仿宋_GB2312" w:hAnsi="仿宋_GB2312" w:eastAsia="仿宋_GB2312" w:cs="仿宋_GB2312"/>
                <w:spacing w:val="-6"/>
                <w:sz w:val="24"/>
                <w:szCs w:val="24"/>
                <w:lang w:val="en-US" w:eastAsia="zh-CN"/>
              </w:rPr>
              <w:t>10</w:t>
            </w:r>
            <w:r>
              <w:rPr>
                <w:rFonts w:hint="eastAsia" w:ascii="仿宋_GB2312" w:hAnsi="仿宋_GB2312" w:eastAsia="仿宋_GB2312" w:cs="仿宋_GB2312"/>
                <w:spacing w:val="-6"/>
                <w:sz w:val="24"/>
                <w:szCs w:val="24"/>
              </w:rPr>
              <w:t>分；</w:t>
            </w:r>
          </w:p>
          <w:p w14:paraId="24221DC8">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 xml:space="preserve">3、承诺供货时间能满足本项目需求，但方案欠可靠，保障性一般的，得 </w:t>
            </w:r>
            <w:r>
              <w:rPr>
                <w:rFonts w:hint="eastAsia" w:ascii="仿宋_GB2312" w:hAnsi="仿宋_GB2312" w:eastAsia="仿宋_GB2312" w:cs="仿宋_GB2312"/>
                <w:spacing w:val="-6"/>
                <w:sz w:val="24"/>
                <w:szCs w:val="24"/>
                <w:lang w:val="en-US" w:eastAsia="zh-CN"/>
              </w:rPr>
              <w:t>5</w:t>
            </w:r>
            <w:r>
              <w:rPr>
                <w:rFonts w:hint="eastAsia" w:ascii="仿宋_GB2312" w:hAnsi="仿宋_GB2312" w:eastAsia="仿宋_GB2312" w:cs="仿宋_GB2312"/>
                <w:spacing w:val="-6"/>
                <w:sz w:val="24"/>
                <w:szCs w:val="24"/>
              </w:rPr>
              <w:t>分；</w:t>
            </w:r>
          </w:p>
          <w:p w14:paraId="715CFE8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continue"/>
            <w:noWrap/>
            <w:vAlign w:val="center"/>
          </w:tcPr>
          <w:p w14:paraId="24F9837E">
            <w:pPr>
              <w:spacing w:line="360" w:lineRule="auto"/>
              <w:jc w:val="center"/>
              <w:rPr>
                <w:rFonts w:hint="eastAsia" w:ascii="仿宋_GB2312" w:hAnsi="仿宋_GB2312" w:eastAsia="仿宋_GB2312" w:cs="仿宋_GB2312"/>
                <w:sz w:val="24"/>
                <w:szCs w:val="24"/>
              </w:rPr>
            </w:pPr>
          </w:p>
        </w:tc>
        <w:tc>
          <w:tcPr>
            <w:tcW w:w="1295" w:type="dxa"/>
            <w:noWrap/>
            <w:vAlign w:val="center"/>
          </w:tcPr>
          <w:p w14:paraId="3BDBD15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应急处置方案 </w:t>
            </w:r>
          </w:p>
          <w:p w14:paraId="7CB6B73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6816" w:type="dxa"/>
            <w:noWrap/>
          </w:tcPr>
          <w:p w14:paraId="69878A2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根据供应商所提供的应急预案进行横向比较，分档评分：</w:t>
            </w:r>
          </w:p>
          <w:p w14:paraId="7E8000A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服务应急方案详细且合理，完全满足要求，得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A462D58">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服务应急方案较合理，能满足要求，得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DE52862">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服务应急方案有缺陷，能基本满足要求，得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分； </w:t>
            </w:r>
          </w:p>
          <w:p w14:paraId="152F0276">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服务应急方案不合理，得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14:paraId="7CAE3480">
            <w:pPr>
              <w:numPr>
                <w:ilvl w:val="0"/>
                <w:numId w:val="0"/>
              </w:numPr>
              <w:spacing w:line="36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continue"/>
            <w:noWrap/>
            <w:vAlign w:val="center"/>
          </w:tcPr>
          <w:p w14:paraId="09A77DAF">
            <w:pPr>
              <w:spacing w:line="360" w:lineRule="auto"/>
              <w:jc w:val="center"/>
              <w:rPr>
                <w:rFonts w:hint="eastAsia" w:ascii="仿宋_GB2312" w:hAnsi="仿宋_GB2312" w:eastAsia="仿宋_GB2312" w:cs="仿宋_GB2312"/>
                <w:sz w:val="24"/>
                <w:szCs w:val="24"/>
              </w:rPr>
            </w:pPr>
          </w:p>
        </w:tc>
        <w:tc>
          <w:tcPr>
            <w:tcW w:w="1295" w:type="dxa"/>
            <w:noWrap/>
            <w:vAlign w:val="center"/>
          </w:tcPr>
          <w:p w14:paraId="018FFF0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售后服务方案</w:t>
            </w:r>
          </w:p>
          <w:p w14:paraId="371E3563">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p>
        </w:tc>
        <w:tc>
          <w:tcPr>
            <w:tcW w:w="6816" w:type="dxa"/>
            <w:noWrap/>
          </w:tcPr>
          <w:p w14:paraId="6FBBEB97">
            <w:pPr>
              <w:numPr>
                <w:ilvl w:val="0"/>
                <w:numId w:val="0"/>
              </w:numPr>
              <w:spacing w:line="360" w:lineRule="auto"/>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提供的售后服务保证方案（包括包含但不限于客户投诉专职对接人员、退还货处理流程、应急突发事件处理方案等）进行评审</w:t>
            </w:r>
            <w:r>
              <w:rPr>
                <w:rFonts w:hint="eastAsia" w:ascii="仿宋_GB2312" w:hAnsi="仿宋_GB2312" w:eastAsia="仿宋_GB2312" w:cs="仿宋_GB2312"/>
                <w:sz w:val="24"/>
                <w:szCs w:val="24"/>
                <w:lang w:eastAsia="zh-CN"/>
              </w:rPr>
              <w:t>：</w:t>
            </w:r>
          </w:p>
          <w:p w14:paraId="62F549F1">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售后服务方案合理可行，能针对本项目实际要求提供可行、可操作且详细的质量保证措施，得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1FDFC80">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售后服务方案较合理可行，质量保证措施有一定针对性，内容较完善，得</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w:t>
            </w:r>
          </w:p>
          <w:p w14:paraId="76EDCBA0">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售后服务方案一般、质量保证措施一般缺乏针对性，内容较为普通，基本满足项目要求，得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14:paraId="13D3F898">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售后服务方案较差、质量保证措施有重大偏差或缺漏，得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p>
          <w:p w14:paraId="309C38AC">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rPr>
              <w:t>不提供方案不得分。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jc w:val="center"/>
        </w:trPr>
        <w:tc>
          <w:tcPr>
            <w:tcW w:w="1337" w:type="dxa"/>
            <w:vMerge w:val="continue"/>
            <w:noWrap/>
            <w:vAlign w:val="center"/>
          </w:tcPr>
          <w:p w14:paraId="7131AFB6">
            <w:pPr>
              <w:spacing w:line="360" w:lineRule="auto"/>
              <w:jc w:val="center"/>
              <w:rPr>
                <w:rFonts w:hint="eastAsia" w:ascii="仿宋_GB2312" w:hAnsi="仿宋_GB2312" w:eastAsia="仿宋_GB2312" w:cs="仿宋_GB2312"/>
                <w:sz w:val="24"/>
                <w:szCs w:val="24"/>
              </w:rPr>
            </w:pPr>
          </w:p>
        </w:tc>
        <w:tc>
          <w:tcPr>
            <w:tcW w:w="1295" w:type="dxa"/>
            <w:noWrap/>
            <w:vAlign w:val="center"/>
          </w:tcPr>
          <w:p w14:paraId="6A428AA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同类项目业绩</w:t>
            </w:r>
          </w:p>
          <w:p w14:paraId="4F5CCC3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w:t>
            </w:r>
          </w:p>
        </w:tc>
        <w:tc>
          <w:tcPr>
            <w:tcW w:w="6816" w:type="dxa"/>
            <w:noWrap/>
          </w:tcPr>
          <w:p w14:paraId="68EF365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供应商自2023年1月1日以来（以合同生效时间为准）承接过的同类项目业绩合同，每提供一个同类项目合同得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7205AB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continue"/>
            <w:noWrap/>
            <w:vAlign w:val="center"/>
          </w:tcPr>
          <w:p w14:paraId="6524C7F3">
            <w:pPr>
              <w:spacing w:line="360" w:lineRule="auto"/>
              <w:jc w:val="center"/>
              <w:rPr>
                <w:rFonts w:hint="eastAsia" w:ascii="仿宋_GB2312" w:hAnsi="仿宋_GB2312" w:eastAsia="仿宋_GB2312" w:cs="仿宋_GB2312"/>
                <w:sz w:val="24"/>
                <w:szCs w:val="24"/>
              </w:rPr>
            </w:pPr>
          </w:p>
        </w:tc>
        <w:tc>
          <w:tcPr>
            <w:tcW w:w="1295" w:type="dxa"/>
            <w:noWrap/>
            <w:vAlign w:val="center"/>
          </w:tcPr>
          <w:p w14:paraId="25C8E69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客户服务评价（依据提供的同类项目业绩的业主评价）</w:t>
            </w:r>
          </w:p>
          <w:p w14:paraId="12CBB50E">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6816" w:type="dxa"/>
            <w:noWrap/>
          </w:tcPr>
          <w:p w14:paraId="45C69B7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每提供一份2023年以来提供的同类项目业绩的评价为满意或优或优秀等正面评价的，每个用户评价得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分。 </w:t>
            </w:r>
          </w:p>
          <w:p w14:paraId="504301F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noWrap/>
            <w:vAlign w:val="center"/>
          </w:tcPr>
          <w:p w14:paraId="53BA372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p w14:paraId="001ED6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1295" w:type="dxa"/>
            <w:noWrap/>
            <w:vAlign w:val="center"/>
          </w:tcPr>
          <w:p w14:paraId="3515305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报价得分 </w:t>
            </w:r>
          </w:p>
          <w:p w14:paraId="113F52E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6816" w:type="dxa"/>
            <w:noWrap/>
          </w:tcPr>
          <w:p w14:paraId="30D08073">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报价得分＝（评标基准价/总报价）×价格分值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p w14:paraId="638D75E0">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【注：满足要求且价格最低的总报价为评标基准价。】最低报价不是</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的唯一依据。</w:t>
            </w:r>
          </w:p>
        </w:tc>
      </w:tr>
    </w:tbl>
    <w:p w14:paraId="0C1959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A281C"/>
    <w:multiLevelType w:val="singleLevel"/>
    <w:tmpl w:val="C29A281C"/>
    <w:lvl w:ilvl="0" w:tentative="0">
      <w:start w:val="3"/>
      <w:numFmt w:val="chineseCounting"/>
      <w:suff w:val="nothing"/>
      <w:lvlText w:val="%1、"/>
      <w:lvlJc w:val="left"/>
      <w:rPr>
        <w:rFonts w:hint="eastAsia"/>
      </w:rPr>
    </w:lvl>
  </w:abstractNum>
  <w:abstractNum w:abstractNumId="1">
    <w:nsid w:val="DECDE88D"/>
    <w:multiLevelType w:val="singleLevel"/>
    <w:tmpl w:val="DECDE88D"/>
    <w:lvl w:ilvl="0" w:tentative="0">
      <w:start w:val="2"/>
      <w:numFmt w:val="decimal"/>
      <w:suff w:val="nothing"/>
      <w:lvlText w:val="%1、"/>
      <w:lvlJc w:val="left"/>
    </w:lvl>
  </w:abstractNum>
  <w:abstractNum w:abstractNumId="2">
    <w:nsid w:val="557122D2"/>
    <w:multiLevelType w:val="singleLevel"/>
    <w:tmpl w:val="557122D2"/>
    <w:lvl w:ilvl="0" w:tentative="0">
      <w:start w:val="4"/>
      <w:numFmt w:val="chineseCounting"/>
      <w:suff w:val="nothing"/>
      <w:lvlText w:val="（%1）"/>
      <w:lvlJc w:val="left"/>
      <w:rPr>
        <w:rFonts w:hint="eastAsia"/>
        <w:sz w:val="21"/>
        <w:szCs w:val="2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13749"/>
    <w:rsid w:val="1EC341D8"/>
    <w:rsid w:val="21796D5C"/>
    <w:rsid w:val="222E1817"/>
    <w:rsid w:val="33557238"/>
    <w:rsid w:val="3DBF0FE8"/>
    <w:rsid w:val="5AB36DD5"/>
    <w:rsid w:val="6044285D"/>
    <w:rsid w:val="60DF1113"/>
    <w:rsid w:val="6158132F"/>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表格文字"/>
    <w:basedOn w:val="1"/>
    <w:qFormat/>
    <w:uiPriority w:val="0"/>
    <w:pPr>
      <w:widowControl w:val="0"/>
      <w:spacing w:before="25" w:beforeLines="0" w:after="25" w:afterLines="0" w:line="300" w:lineRule="auto"/>
      <w:jc w:val="both"/>
    </w:pPr>
    <w:rPr>
      <w:rFonts w:ascii="Times" w:hAnsi="Times"/>
      <w:spacing w:val="10"/>
      <w:sz w:val="24"/>
    </w:r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1349</Words>
  <Characters>1497</Characters>
  <Lines>0</Lines>
  <Paragraphs>0</Paragraphs>
  <TotalTime>3</TotalTime>
  <ScaleCrop>false</ScaleCrop>
  <LinksUpToDate>false</LinksUpToDate>
  <CharactersWithSpaces>1509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彭圆员</cp:lastModifiedBy>
  <dcterms:modified xsi:type="dcterms:W3CDTF">2026-03-03T09:05:34Z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57CED8DD4B244215A2B0BC28AADDA365_13</vt:lpwstr>
  </property>
  <property fmtid="{D5CDD505-2E9C-101B-9397-08002B2CF9AE}" pid="4" name="KSOTemplateDocerSaveRecord">
    <vt:lpwstr>eyJoZGlkIjoiYzM2ZDI0YzYzNjkyZGE1YjQ4YmUyYTk4NGRiOWQxY2MiLCJ1c2VySWQiOiIxNzg0MDA4MjE2In0=</vt:lpwstr>
  </property>
</Properties>
</file>