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542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rPr>
      </w:pPr>
      <w:r>
        <w:rPr>
          <w:rFonts w:hint="eastAsia" w:ascii="微软雅黑" w:hAnsi="微软雅黑" w:eastAsia="微软雅黑" w:cs="微软雅黑"/>
          <w:i w:val="0"/>
          <w:iCs w:val="0"/>
          <w:caps w:val="0"/>
          <w:color w:val="2B2B2B"/>
          <w:spacing w:val="0"/>
          <w:sz w:val="24"/>
          <w:szCs w:val="24"/>
          <w:shd w:val="clear" w:fill="FFFFFF"/>
        </w:rPr>
        <w:t>附件1</w:t>
      </w:r>
    </w:p>
    <w:p w14:paraId="5A2AB87B">
      <w:pPr>
        <w:spacing w:line="480" w:lineRule="exact"/>
        <w:jc w:val="center"/>
        <w:rPr>
          <w:rFonts w:hint="eastAsia" w:ascii="微软雅黑" w:hAnsi="微软雅黑" w:eastAsia="微软雅黑" w:cs="微软雅黑"/>
          <w:b/>
          <w:color w:val="auto"/>
          <w:sz w:val="28"/>
          <w:szCs w:val="28"/>
          <w:lang w:val="en-US" w:eastAsia="zh-CN"/>
        </w:rPr>
      </w:pPr>
      <w:r>
        <w:rPr>
          <w:rFonts w:hint="eastAsia" w:ascii="微软雅黑" w:hAnsi="微软雅黑" w:eastAsia="微软雅黑" w:cs="微软雅黑"/>
          <w:b/>
          <w:color w:val="auto"/>
          <w:sz w:val="28"/>
          <w:szCs w:val="28"/>
          <w:lang w:val="en-US" w:eastAsia="zh-CN"/>
        </w:rPr>
        <w:t>项目需求书</w:t>
      </w:r>
    </w:p>
    <w:p w14:paraId="275D203D">
      <w:pPr>
        <w:pStyle w:val="18"/>
        <w:widowControl/>
        <w:numPr>
          <w:ilvl w:val="0"/>
          <w:numId w:val="0"/>
        </w:numPr>
        <w:spacing w:line="360" w:lineRule="auto"/>
        <w:ind w:left="720" w:leftChars="0" w:hanging="720" w:firstLineChars="0"/>
        <w:jc w:val="left"/>
        <w:rPr>
          <w:rFonts w:hint="eastAsia" w:ascii="微软雅黑" w:hAnsi="微软雅黑" w:eastAsia="微软雅黑" w:cs="微软雅黑"/>
          <w:b/>
          <w:bCs w:val="0"/>
          <w:color w:val="auto"/>
          <w:kern w:val="2"/>
          <w:sz w:val="24"/>
          <w:szCs w:val="24"/>
          <w:lang w:val="en-US" w:eastAsia="zh-CN" w:bidi="ar-SA"/>
        </w:rPr>
      </w:pPr>
      <w:r>
        <w:rPr>
          <w:rFonts w:hint="default" w:ascii="微软雅黑" w:hAnsi="微软雅黑" w:eastAsia="微软雅黑" w:cs="微软雅黑"/>
          <w:b/>
          <w:bCs w:val="0"/>
          <w:color w:val="auto"/>
          <w:kern w:val="2"/>
          <w:sz w:val="24"/>
          <w:szCs w:val="24"/>
          <w:lang w:val="en-US" w:eastAsia="zh-CN" w:bidi="ar-SA"/>
        </w:rPr>
        <w:t>一、</w:t>
      </w:r>
      <w:r>
        <w:rPr>
          <w:rFonts w:hint="eastAsia" w:ascii="微软雅黑" w:hAnsi="微软雅黑" w:eastAsia="微软雅黑" w:cs="微软雅黑"/>
          <w:b/>
          <w:bCs w:val="0"/>
          <w:color w:val="auto"/>
          <w:kern w:val="2"/>
          <w:sz w:val="24"/>
          <w:szCs w:val="24"/>
          <w:lang w:val="en-US" w:eastAsia="zh-CN" w:bidi="ar-SA"/>
        </w:rPr>
        <w:t>项目基本情况</w:t>
      </w:r>
    </w:p>
    <w:tbl>
      <w:tblPr>
        <w:tblStyle w:val="13"/>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5723"/>
      </w:tblGrid>
      <w:tr w14:paraId="02A8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230" w:type="dxa"/>
          </w:tcPr>
          <w:p w14:paraId="66EAFF37">
            <w:pPr>
              <w:spacing w:line="36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项目名称</w:t>
            </w:r>
          </w:p>
        </w:tc>
        <w:tc>
          <w:tcPr>
            <w:tcW w:w="5723" w:type="dxa"/>
          </w:tcPr>
          <w:p w14:paraId="006DFF07">
            <w:pPr>
              <w:spacing w:line="360" w:lineRule="auto"/>
              <w:jc w:val="center"/>
              <w:rPr>
                <w:rFonts w:hint="eastAsia" w:ascii="微软雅黑" w:hAnsi="微软雅黑" w:eastAsia="微软雅黑" w:cs="微软雅黑"/>
                <w:i w:val="0"/>
                <w:iCs w:val="0"/>
                <w:color w:val="auto"/>
                <w:sz w:val="24"/>
                <w:szCs w:val="24"/>
                <w:lang w:val="en-US" w:eastAsia="zh-CN"/>
              </w:rPr>
            </w:pPr>
            <w:permStart w:id="0" w:edGrp="everyone"/>
            <w:r>
              <w:rPr>
                <w:rFonts w:hint="eastAsia" w:ascii="微软雅黑" w:hAnsi="微软雅黑" w:eastAsia="微软雅黑" w:cs="微软雅黑"/>
                <w:i w:val="0"/>
                <w:iCs w:val="0"/>
                <w:color w:val="auto"/>
                <w:sz w:val="24"/>
                <w:szCs w:val="24"/>
                <w:lang w:val="en-US" w:eastAsia="zh-CN"/>
              </w:rPr>
              <w:t xml:space="preserve"> </w:t>
            </w:r>
            <w:r>
              <w:rPr>
                <w:rFonts w:hint="eastAsia" w:ascii="微软雅黑" w:hAnsi="微软雅黑" w:eastAsia="微软雅黑" w:cs="微软雅黑"/>
                <w:i w:val="0"/>
                <w:iCs w:val="0"/>
                <w:color w:val="auto"/>
                <w:sz w:val="24"/>
                <w:szCs w:val="24"/>
                <w:highlight w:val="yellow"/>
                <w:lang w:val="en-US" w:eastAsia="zh-CN"/>
              </w:rPr>
              <w:t>中山市口腔医院2026年印刷服务项目</w:t>
            </w:r>
            <w:r>
              <w:rPr>
                <w:rFonts w:hint="eastAsia" w:ascii="微软雅黑" w:hAnsi="微软雅黑" w:eastAsia="微软雅黑" w:cs="微软雅黑"/>
                <w:i w:val="0"/>
                <w:iCs w:val="0"/>
                <w:color w:val="auto"/>
                <w:sz w:val="24"/>
                <w:szCs w:val="24"/>
                <w:lang w:val="en-US" w:eastAsia="zh-CN"/>
              </w:rPr>
              <w:t xml:space="preserve"> </w:t>
            </w:r>
            <w:permEnd w:id="0"/>
          </w:p>
        </w:tc>
      </w:tr>
      <w:tr w14:paraId="3799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44ECE8B7">
            <w:pPr>
              <w:spacing w:line="360" w:lineRule="auto"/>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采购预算金额</w:t>
            </w:r>
          </w:p>
        </w:tc>
        <w:tc>
          <w:tcPr>
            <w:tcW w:w="5723" w:type="dxa"/>
          </w:tcPr>
          <w:p w14:paraId="4D49B931">
            <w:pPr>
              <w:spacing w:line="360" w:lineRule="auto"/>
              <w:jc w:val="center"/>
              <w:rPr>
                <w:rFonts w:hint="eastAsia" w:ascii="微软雅黑" w:hAnsi="微软雅黑" w:eastAsia="微软雅黑" w:cs="微软雅黑"/>
                <w:i w:val="0"/>
                <w:iCs w:val="0"/>
                <w:color w:val="auto"/>
                <w:sz w:val="24"/>
                <w:szCs w:val="24"/>
              </w:rPr>
            </w:pPr>
            <w:permStart w:id="1" w:edGrp="everyone"/>
            <w:r>
              <w:rPr>
                <w:rFonts w:hint="eastAsia" w:ascii="微软雅黑" w:hAnsi="微软雅黑" w:eastAsia="微软雅黑" w:cs="微软雅黑"/>
                <w:i w:val="0"/>
                <w:iCs w:val="0"/>
                <w:color w:val="auto"/>
                <w:sz w:val="24"/>
                <w:szCs w:val="24"/>
                <w:lang w:val="en-US" w:eastAsia="zh-CN"/>
              </w:rPr>
              <w:t xml:space="preserve"> </w:t>
            </w:r>
            <w:r>
              <w:rPr>
                <w:rFonts w:hint="eastAsia" w:ascii="微软雅黑" w:hAnsi="微软雅黑" w:eastAsia="微软雅黑" w:cs="微软雅黑"/>
                <w:i w:val="0"/>
                <w:iCs w:val="0"/>
                <w:color w:val="auto"/>
                <w:sz w:val="24"/>
                <w:szCs w:val="24"/>
                <w:highlight w:val="yellow"/>
                <w:lang w:val="en-US" w:eastAsia="zh-CN"/>
              </w:rPr>
              <w:t>60000元</w:t>
            </w:r>
            <w:r>
              <w:rPr>
                <w:rFonts w:hint="eastAsia" w:ascii="微软雅黑" w:hAnsi="微软雅黑" w:eastAsia="微软雅黑" w:cs="微软雅黑"/>
                <w:i w:val="0"/>
                <w:iCs w:val="0"/>
                <w:color w:val="auto"/>
                <w:sz w:val="24"/>
                <w:szCs w:val="24"/>
                <w:lang w:val="en-US" w:eastAsia="zh-CN"/>
              </w:rPr>
              <w:t xml:space="preserve"> </w:t>
            </w:r>
            <w:permEnd w:id="1"/>
          </w:p>
        </w:tc>
      </w:tr>
      <w:tr w14:paraId="5F4F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3BFC5E92">
            <w:pPr>
              <w:spacing w:line="360" w:lineRule="auto"/>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报价（折扣率）</w:t>
            </w:r>
          </w:p>
        </w:tc>
        <w:tc>
          <w:tcPr>
            <w:tcW w:w="5723" w:type="dxa"/>
          </w:tcPr>
          <w:p w14:paraId="7DC1F74F">
            <w:pPr>
              <w:spacing w:line="360" w:lineRule="auto"/>
              <w:jc w:val="center"/>
              <w:rPr>
                <w:rFonts w:hint="eastAsia" w:ascii="微软雅黑" w:hAnsi="微软雅黑" w:eastAsia="微软雅黑" w:cs="微软雅黑"/>
                <w:i w:val="0"/>
                <w:iCs w:val="0"/>
                <w:color w:val="auto"/>
                <w:sz w:val="24"/>
                <w:szCs w:val="24"/>
                <w:lang w:val="en-US" w:eastAsia="zh-CN"/>
              </w:rPr>
            </w:pPr>
            <w:permStart w:id="2" w:edGrp="everyone"/>
            <w:r>
              <w:rPr>
                <w:rFonts w:hint="eastAsia" w:ascii="微软雅黑" w:hAnsi="微软雅黑" w:eastAsia="微软雅黑" w:cs="微软雅黑"/>
                <w:i w:val="0"/>
                <w:iCs w:val="0"/>
                <w:color w:val="auto"/>
                <w:sz w:val="24"/>
                <w:szCs w:val="24"/>
                <w:highlight w:val="yellow"/>
                <w:lang w:val="en-US" w:eastAsia="zh-CN"/>
              </w:rPr>
              <w:t>填报范围为0~100%</w:t>
            </w:r>
            <w:r>
              <w:rPr>
                <w:rFonts w:hint="eastAsia" w:ascii="微软雅黑" w:hAnsi="微软雅黑" w:eastAsia="微软雅黑" w:cs="微软雅黑"/>
                <w:i w:val="0"/>
                <w:iCs w:val="0"/>
                <w:color w:val="auto"/>
                <w:sz w:val="24"/>
                <w:szCs w:val="24"/>
                <w:lang w:val="en-US" w:eastAsia="zh-CN"/>
              </w:rPr>
              <w:t xml:space="preserve"> </w:t>
            </w:r>
            <w:permEnd w:id="2"/>
          </w:p>
        </w:tc>
      </w:tr>
    </w:tbl>
    <w:p w14:paraId="067ED485">
      <w:pPr>
        <w:pStyle w:val="18"/>
        <w:widowControl/>
        <w:numPr>
          <w:ilvl w:val="0"/>
          <w:numId w:val="0"/>
        </w:numPr>
        <w:spacing w:line="360" w:lineRule="auto"/>
        <w:ind w:left="720" w:leftChars="0" w:hanging="720" w:firstLineChars="0"/>
        <w:jc w:val="left"/>
        <w:rPr>
          <w:rFonts w:hint="eastAsia" w:ascii="微软雅黑" w:hAnsi="微软雅黑" w:eastAsia="微软雅黑" w:cs="微软雅黑"/>
          <w:b/>
          <w:bCs w:val="0"/>
          <w:color w:val="auto"/>
          <w:kern w:val="2"/>
          <w:sz w:val="24"/>
          <w:szCs w:val="24"/>
          <w:lang w:val="en-US" w:eastAsia="zh-CN" w:bidi="ar-SA"/>
        </w:rPr>
      </w:pPr>
      <w:r>
        <w:rPr>
          <w:rFonts w:hint="default" w:ascii="微软雅黑" w:hAnsi="微软雅黑" w:eastAsia="微软雅黑" w:cs="微软雅黑"/>
          <w:b/>
          <w:bCs w:val="0"/>
          <w:color w:val="auto"/>
          <w:kern w:val="2"/>
          <w:sz w:val="24"/>
          <w:szCs w:val="24"/>
          <w:lang w:val="en-US" w:eastAsia="zh-CN" w:bidi="ar-SA"/>
        </w:rPr>
        <w:t>二、</w:t>
      </w:r>
      <w:r>
        <w:rPr>
          <w:rFonts w:hint="eastAsia" w:ascii="微软雅黑" w:hAnsi="微软雅黑" w:eastAsia="微软雅黑" w:cs="微软雅黑"/>
          <w:b/>
          <w:bCs w:val="0"/>
          <w:color w:val="auto"/>
          <w:kern w:val="2"/>
          <w:sz w:val="24"/>
          <w:szCs w:val="24"/>
          <w:lang w:val="en-US" w:eastAsia="zh-CN" w:bidi="ar-SA"/>
        </w:rPr>
        <w:t>项目采购清单：详见附件：中山市口腔医院2026年印刷服务项目采购清单。</w:t>
      </w:r>
    </w:p>
    <w:p w14:paraId="3E0E2554">
      <w:pPr>
        <w:pStyle w:val="18"/>
        <w:widowControl/>
        <w:numPr>
          <w:ilvl w:val="0"/>
          <w:numId w:val="0"/>
        </w:numPr>
        <w:spacing w:line="360" w:lineRule="auto"/>
        <w:ind w:left="720" w:leftChars="0" w:hanging="720" w:firstLineChars="0"/>
        <w:jc w:val="left"/>
        <w:rPr>
          <w:rFonts w:hint="eastAsia" w:ascii="微软雅黑" w:hAnsi="微软雅黑" w:eastAsia="微软雅黑" w:cs="微软雅黑"/>
          <w:b/>
          <w:bCs w:val="0"/>
          <w:color w:val="auto"/>
          <w:kern w:val="2"/>
          <w:sz w:val="24"/>
          <w:szCs w:val="24"/>
          <w:lang w:val="en-US" w:eastAsia="zh-CN" w:bidi="ar-SA"/>
        </w:rPr>
      </w:pPr>
      <w:r>
        <w:rPr>
          <w:rFonts w:hint="eastAsia" w:ascii="微软雅黑" w:hAnsi="微软雅黑" w:eastAsia="微软雅黑" w:cs="微软雅黑"/>
          <w:b/>
          <w:bCs w:val="0"/>
          <w:color w:val="auto"/>
          <w:kern w:val="2"/>
          <w:sz w:val="24"/>
          <w:szCs w:val="24"/>
          <w:lang w:val="en-US" w:eastAsia="zh-CN" w:bidi="ar-SA"/>
        </w:rPr>
        <w:t>三、商务要求</w:t>
      </w:r>
    </w:p>
    <w:p w14:paraId="4006B8B3">
      <w:pPr>
        <w:bidi w:val="0"/>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（一）报价要求</w:t>
      </w:r>
    </w:p>
    <w:p w14:paraId="155DECE4">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本项目采用折扣率报价，折扣率单位为“%”。该折扣率即为本项目的价格分计算基础，报价（折扣率）须准确到小数点后两位数，四舍五入。供应商报价（折扣率）填报范围为0~100%，且必须为固定值（例如85.50%），不接受区间值（例如80.00%-85.50%）。供应商所报的折扣率即成为本项目的合同折扣率。服务期内，任何情况下均不改变成交的折扣率。</w:t>
      </w:r>
    </w:p>
    <w:p w14:paraId="29DA1A56">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2.本项目各产品的货款结算单价=中标折扣率×单价限价。计算结果保留两位小数，第三位小数按四舍五入法处理。</w:t>
      </w:r>
    </w:p>
    <w:p w14:paraId="07A37C05">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3.“单价限价”详见《中山市口腔医院2026年印刷服务项目采购清单》。</w:t>
      </w:r>
    </w:p>
    <w:p w14:paraId="7653C2ED">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4.供应商报价应包括完成项目所必须的全部货物、税费、运费、保险费、仓储费、质保</w:t>
      </w:r>
      <w:r>
        <w:rPr>
          <w:rFonts w:hint="eastAsia" w:ascii="微软雅黑" w:hAnsi="微软雅黑" w:eastAsia="微软雅黑" w:cs="微软雅黑"/>
          <w:highlight w:val="none"/>
          <w:lang w:val="en-US" w:eastAsia="zh-CN"/>
        </w:rPr>
        <w:t>、售后服</w:t>
      </w:r>
      <w:r>
        <w:rPr>
          <w:rFonts w:hint="eastAsia" w:ascii="微软雅黑" w:hAnsi="微软雅黑" w:eastAsia="微软雅黑" w:cs="微软雅黑"/>
          <w:lang w:val="en-US" w:eastAsia="zh-CN"/>
        </w:rPr>
        <w:t>务等全部费用。报价以人民币为货币单位，单价、小计和总价应清楚表达。</w:t>
      </w:r>
    </w:p>
    <w:p w14:paraId="41BD082F">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5.本项目由成交供应商负责本项目需求对成交供应商要求的一切事宜及责任，如果供应商在签署合同后，在项目实施过程中出现报价内容的任何遗漏，均由成交供应商提供，采购人将不再支付任何费用。</w:t>
      </w:r>
    </w:p>
    <w:p w14:paraId="34C91292">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6.货币：人民币。</w:t>
      </w:r>
    </w:p>
    <w:p w14:paraId="0C1984BC">
      <w:pPr>
        <w:bidi w:val="0"/>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（二）到送货地点、时间</w:t>
      </w:r>
    </w:p>
    <w:p w14:paraId="32AC02D5">
      <w:pPr>
        <w:bidi w:val="0"/>
        <w:rPr>
          <w:rFonts w:hint="eastAsia" w:ascii="微软雅黑" w:hAnsi="微软雅黑" w:eastAsia="微软雅黑" w:cs="微软雅黑"/>
          <w:color w:val="auto"/>
          <w:highlight w:val="none"/>
          <w:u w:val="none"/>
          <w:lang w:val="en-US" w:eastAsia="zh-CN"/>
        </w:rPr>
      </w:pPr>
      <w:r>
        <w:rPr>
          <w:rFonts w:hint="eastAsia" w:ascii="微软雅黑" w:hAnsi="微软雅黑" w:eastAsia="微软雅黑" w:cs="微软雅黑"/>
          <w:lang w:val="en-US" w:eastAsia="zh-CN"/>
        </w:rPr>
        <w:t>1.送货地点：中山市口腔</w:t>
      </w:r>
      <w:r>
        <w:rPr>
          <w:rFonts w:hint="eastAsia" w:ascii="微软雅黑" w:hAnsi="微软雅黑" w:eastAsia="微软雅黑" w:cs="微软雅黑"/>
          <w:color w:val="auto"/>
          <w:highlight w:val="none"/>
          <w:u w:val="none"/>
          <w:lang w:val="en-US" w:eastAsia="zh-CN"/>
        </w:rPr>
        <w:t>医院</w:t>
      </w:r>
    </w:p>
    <w:p w14:paraId="7924A42B">
      <w:pPr>
        <w:bidi w:val="0"/>
        <w:rPr>
          <w:rFonts w:hint="eastAsia" w:ascii="微软雅黑" w:hAnsi="微软雅黑" w:eastAsia="微软雅黑" w:cs="微软雅黑"/>
          <w:color w:val="auto"/>
          <w:highlight w:val="none"/>
          <w:u w:val="none"/>
          <w:lang w:val="en-US" w:eastAsia="zh-CN"/>
        </w:rPr>
      </w:pPr>
      <w:r>
        <w:rPr>
          <w:rFonts w:hint="eastAsia" w:ascii="微软雅黑" w:hAnsi="微软雅黑" w:eastAsia="微软雅黑" w:cs="微软雅黑"/>
          <w:color w:val="auto"/>
          <w:highlight w:val="none"/>
          <w:u w:val="none"/>
          <w:lang w:val="en-US" w:eastAsia="zh-CN"/>
        </w:rPr>
        <w:t>2.交付时间：接到采购人通知后 10 日内完成供货。</w:t>
      </w:r>
    </w:p>
    <w:p w14:paraId="0A8AC435">
      <w:pPr>
        <w:bidi w:val="0"/>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（三）包装及运输</w:t>
      </w:r>
    </w:p>
    <w:p w14:paraId="44AA86BF">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1.包装必须与运输方式相适应，包装方式的确定及包装费用均由成交供应商负责；由于不适当的包装而造成货物在运输过程中有任何损坏、丢失由乙方负责。</w:t>
      </w:r>
    </w:p>
    <w:p w14:paraId="41DE5CEB">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2.包装应足以承受整个过程中的运输、转运、装卸、储存等，充分考虑到运输途中的各种情况（如暴露于恶劣气候等）和中山地区的气候特点，以及露天存放的需要。</w:t>
      </w:r>
    </w:p>
    <w:p w14:paraId="32FB9CB6">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由成交供应商直接派人将货物运送至采购人指定科室，货物送到现场过程中的全部运输，包括装卸车、货物现场的搬运，费用由成交供应商负责。不接受成交供应商以物流或快递等形式发货，否则，采购人将不予签收和验收。</w:t>
      </w:r>
    </w:p>
    <w:p w14:paraId="38FDE908">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4.货物在现场的保管由成交供应商负责，直至项目验收完毕。</w:t>
      </w:r>
    </w:p>
    <w:p w14:paraId="68348A9F">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5.包装费、运费已包含在合同价内。</w:t>
      </w:r>
    </w:p>
    <w:p w14:paraId="66F6D57F">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w:t>
      </w:r>
      <w:r>
        <w:rPr>
          <w:rFonts w:hint="eastAsia" w:ascii="微软雅黑" w:hAnsi="微软雅黑" w:eastAsia="微软雅黑" w:cs="微软雅黑"/>
          <w:b/>
          <w:bCs/>
          <w:lang w:val="en-US" w:eastAsia="zh-CN"/>
        </w:rPr>
        <w:t>四）售后服务要求</w:t>
      </w:r>
    </w:p>
    <w:p w14:paraId="317E3BAE">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1.若货物质量出现问题，供应商应负责包换，产生的费用由供应商负责，对出现严重质量问题的，采购人有权要求退货。如货物出现问题导致无法正常使用的，采购人可要求更换货物，以保证采购货物正常使用。</w:t>
      </w:r>
    </w:p>
    <w:p w14:paraId="777416F3">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质保期内，售后服务响应时间为60分钟内，如有需要退换的，供应商应在24小时内完成退换服务。所有质保服务方式均为供应商上门服务，即由供应商派人员到货物使用现场更换，由此产生的一切费用均由供应商承担。若采购人紧急使用时，供应商收到通知后应在24小时内完成退换。如确属采购人人为原因损坏，亦须无条件更换或维修，并确保正常使用，但采购人应给予合理费用补偿供应商的成本。</w:t>
      </w:r>
    </w:p>
    <w:p w14:paraId="32084268">
      <w:pPr>
        <w:bidi w:val="0"/>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（五）结算及付款方式</w:t>
      </w:r>
    </w:p>
    <w:p w14:paraId="2D3F539C">
      <w:pPr>
        <w:bidi w:val="0"/>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1</w:t>
      </w:r>
      <w:r>
        <w:rPr>
          <w:rFonts w:hint="eastAsia" w:ascii="微软雅黑" w:hAnsi="微软雅黑" w:eastAsia="微软雅黑" w:cs="微软雅黑"/>
          <w:lang w:val="en-US" w:eastAsia="zh-CN"/>
        </w:rPr>
        <w:t>.本项目按月结算，货物全部到采购人指定科室交付后申请验收，验收合格后成交供应商向采购人提交申请款项支付资料之后30个工作日内，采购人向成交供应商支付采购货款。结算公式=Σ（各产品单价限价×实际供货量）×中标折扣率</w:t>
      </w:r>
    </w:p>
    <w:p w14:paraId="18687B07">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2.本合同款项以人民币通过银行转账方式结算，乙方凭以下资料申请款项支付：</w:t>
      </w:r>
    </w:p>
    <w:p w14:paraId="68F7480B">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①合同复印件；②送货单；③乙方开具对应款项的正规全额发票和对应款项收据。</w:t>
      </w:r>
    </w:p>
    <w:p w14:paraId="64A44D96">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3.因采购人使用资金需要经过财务审批程序，采购人在前款规定的付款时间为向财务部门提出办理支付申请手续的时间（不含账务部门、支付部门审核的时间），在规定时间内提出支付申请手续后即视为采购人已经按期支付。</w:t>
      </w:r>
    </w:p>
    <w:p w14:paraId="0E119C41">
      <w:pPr>
        <w:keepNext w:val="0"/>
        <w:keepLines w:val="0"/>
        <w:pageBreakBefore w:val="0"/>
        <w:widowControl w:val="0"/>
        <w:tabs>
          <w:tab w:val="left" w:pos="1365"/>
        </w:tabs>
        <w:kinsoku/>
        <w:wordWrap/>
        <w:overflowPunct/>
        <w:topLinePunct w:val="0"/>
        <w:autoSpaceDE/>
        <w:autoSpaceDN/>
        <w:bidi w:val="0"/>
        <w:adjustRightInd/>
        <w:snapToGrid/>
        <w:spacing w:before="157" w:beforeLines="50" w:after="157" w:afterLines="50" w:line="360" w:lineRule="auto"/>
        <w:textAlignment w:val="auto"/>
        <w:outlineLvl w:val="9"/>
        <w:rPr>
          <w:rFonts w:hint="eastAsia" w:ascii="宋体" w:hAnsi="宋体" w:eastAsia="宋体" w:cs="宋体"/>
          <w:b/>
          <w:szCs w:val="21"/>
          <w:highlight w:val="none"/>
          <w:lang w:val="en-US" w:eastAsia="zh-CN"/>
        </w:rPr>
      </w:pPr>
      <w:bookmarkStart w:id="0" w:name="_Toc259090960"/>
      <w:r>
        <w:rPr>
          <w:rFonts w:hint="eastAsia" w:ascii="微软雅黑" w:hAnsi="微软雅黑" w:eastAsia="微软雅黑" w:cs="微软雅黑"/>
          <w:b/>
          <w:bCs w:val="0"/>
          <w:color w:val="auto"/>
          <w:kern w:val="2"/>
          <w:sz w:val="24"/>
          <w:szCs w:val="24"/>
          <w:highlight w:val="none"/>
          <w:lang w:val="en-US" w:eastAsia="zh-CN" w:bidi="ar-SA"/>
        </w:rPr>
        <w:t>四、评审方法</w:t>
      </w:r>
    </w:p>
    <w:p w14:paraId="2DD045D6">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经评审的综合评分：由评审委员会从需求响应方面和价格方面进行综合评审，符合用户需求且报价最低的为排名第一，排名第一的推荐为拟成交供应商。</w:t>
      </w:r>
    </w:p>
    <w:p w14:paraId="4FBE916E">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注：如报价相同时，可根据供货时间、服务便利性等因素择优推荐排名。</w:t>
      </w:r>
    </w:p>
    <w:bookmarkEnd w:id="0"/>
    <w:p w14:paraId="0FC5374C">
      <w:pPr>
        <w:keepNext w:val="0"/>
        <w:keepLines w:val="0"/>
        <w:pageBreakBefore w:val="0"/>
        <w:widowControl w:val="0"/>
        <w:tabs>
          <w:tab w:val="left" w:pos="1365"/>
        </w:tabs>
        <w:kinsoku/>
        <w:wordWrap/>
        <w:overflowPunct/>
        <w:topLinePunct w:val="0"/>
        <w:autoSpaceDE/>
        <w:autoSpaceDN/>
        <w:bidi w:val="0"/>
        <w:adjustRightInd/>
        <w:snapToGrid/>
        <w:spacing w:before="157" w:beforeLines="50" w:after="157" w:afterLines="50" w:line="360" w:lineRule="auto"/>
        <w:textAlignment w:val="auto"/>
        <w:outlineLvl w:val="9"/>
        <w:rPr>
          <w:rFonts w:hint="default" w:ascii="微软雅黑" w:hAnsi="微软雅黑" w:eastAsia="微软雅黑" w:cs="微软雅黑"/>
          <w:b/>
          <w:bCs w:val="0"/>
          <w:color w:val="auto"/>
          <w:kern w:val="2"/>
          <w:sz w:val="24"/>
          <w:szCs w:val="24"/>
          <w:highlight w:val="none"/>
          <w:lang w:val="en-US" w:eastAsia="zh-CN" w:bidi="ar-SA"/>
        </w:rPr>
      </w:pPr>
      <w:r>
        <w:rPr>
          <w:rFonts w:hint="eastAsia" w:ascii="微软雅黑" w:hAnsi="微软雅黑" w:eastAsia="微软雅黑" w:cs="微软雅黑"/>
          <w:b/>
          <w:bCs w:val="0"/>
          <w:color w:val="auto"/>
          <w:kern w:val="2"/>
          <w:sz w:val="24"/>
          <w:szCs w:val="24"/>
          <w:highlight w:val="none"/>
          <w:lang w:val="en-US" w:eastAsia="zh-CN" w:bidi="ar-SA"/>
        </w:rPr>
        <w:t>五、合同订立</w:t>
      </w:r>
    </w:p>
    <w:p w14:paraId="1948619C">
      <w:pPr>
        <w:bidi w:val="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定标程序：采购人按照评审汇总表确定排名第一的为成交供应商。</w:t>
      </w:r>
    </w:p>
    <w:p w14:paraId="213024B8">
      <w:pPr>
        <w:bidi w:val="0"/>
        <w:rPr>
          <w:rFonts w:hint="eastAsia" w:ascii="微软雅黑" w:hAnsi="微软雅黑" w:eastAsia="微软雅黑" w:cs="微软雅黑"/>
          <w:lang w:val="en-US" w:eastAsia="zh-CN"/>
        </w:rPr>
        <w:sectPr>
          <w:headerReference r:id="rId5" w:type="default"/>
          <w:footerReference r:id="rId6" w:type="default"/>
          <w:pgSz w:w="11900" w:h="16840"/>
          <w:pgMar w:top="1440" w:right="1800" w:bottom="1440" w:left="1800" w:header="851" w:footer="992" w:gutter="0"/>
          <w:pgNumType w:fmt="decimal"/>
          <w:cols w:space="425" w:num="1"/>
          <w:docGrid w:type="lines" w:linePitch="312" w:charSpace="0"/>
        </w:sectPr>
      </w:pPr>
      <w:r>
        <w:rPr>
          <w:rFonts w:hint="eastAsia" w:ascii="微软雅黑" w:hAnsi="微软雅黑" w:eastAsia="微软雅黑" w:cs="微软雅黑"/>
          <w:highlight w:val="none"/>
          <w:lang w:val="en-US" w:eastAsia="zh-CN"/>
        </w:rPr>
        <w:t>成交供应商确定后，成交供应商拒绝与采购人签订合同的或者放弃成交资格，采购人可以按照评审汇总表的排序，递补确定排名第二的供应商为成交供应商，</w:t>
      </w:r>
      <w:r>
        <w:rPr>
          <w:rFonts w:hint="eastAsia" w:ascii="微软雅黑" w:hAnsi="微软雅黑" w:eastAsia="微软雅黑" w:cs="微软雅黑"/>
          <w:lang w:val="en-US" w:eastAsia="zh-CN"/>
        </w:rPr>
        <w:t>也可以重新开展采购活动。</w:t>
      </w:r>
    </w:p>
    <w:p w14:paraId="7E598C7E">
      <w:pPr>
        <w:spacing w:line="360" w:lineRule="auto"/>
        <w:rPr>
          <w:rFonts w:hint="default" w:ascii="微软雅黑" w:hAnsi="微软雅黑" w:eastAsia="微软雅黑" w:cs="微软雅黑"/>
          <w:i/>
          <w:iCs/>
          <w:color w:val="FF0000"/>
          <w:sz w:val="24"/>
          <w:szCs w:val="24"/>
          <w:highlight w:val="yellow"/>
          <w:lang w:val="en-US" w:eastAsia="zh-CN"/>
        </w:rPr>
      </w:pPr>
      <w:r>
        <w:rPr>
          <w:rFonts w:hint="eastAsia" w:ascii="微软雅黑" w:hAnsi="微软雅黑" w:eastAsia="微软雅黑" w:cs="微软雅黑"/>
          <w:sz w:val="24"/>
          <w:szCs w:val="24"/>
          <w:lang w:eastAsia="zh-CN"/>
        </w:rPr>
        <w:t>附：综合评分表</w:t>
      </w:r>
      <w:r>
        <w:rPr>
          <w:rFonts w:hint="eastAsia" w:ascii="微软雅黑" w:hAnsi="微软雅黑" w:eastAsia="微软雅黑" w:cs="微软雅黑"/>
          <w:sz w:val="24"/>
          <w:szCs w:val="24"/>
          <w:lang w:val="en-US" w:eastAsia="zh-CN"/>
        </w:rPr>
        <w:t xml:space="preserve">   </w:t>
      </w:r>
    </w:p>
    <w:p w14:paraId="2F1D915C">
      <w:pPr>
        <w:spacing w:line="360" w:lineRule="auto"/>
        <w:jc w:val="center"/>
        <w:rPr>
          <w:rFonts w:hint="eastAsia" w:ascii="微软雅黑" w:hAnsi="微软雅黑" w:eastAsia="微软雅黑" w:cs="微软雅黑"/>
          <w:i/>
          <w:iCs/>
          <w:color w:val="FF0000"/>
          <w:sz w:val="24"/>
          <w:szCs w:val="24"/>
          <w:highlight w:val="yellow"/>
          <w:lang w:eastAsia="zh-CN"/>
        </w:rPr>
      </w:pPr>
    </w:p>
    <w:tbl>
      <w:tblPr>
        <w:tblStyle w:val="12"/>
        <w:tblW w:w="944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62"/>
        <w:gridCol w:w="1836"/>
        <w:gridCol w:w="5750"/>
      </w:tblGrid>
      <w:tr w14:paraId="2CF2A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0D170E1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 w:val="left" w:pos="7720"/>
              </w:tabs>
              <w:spacing w:before="0" w:beforeAutospacing="0" w:after="0" w:afterAutospacing="0" w:line="315" w:lineRule="atLeast"/>
              <w:ind w:right="0"/>
              <w:rPr>
                <w:rFonts w:ascii="宋体" w:hAnsi="宋体" w:cs="宋体"/>
                <w:szCs w:val="21"/>
              </w:rPr>
            </w:pPr>
            <w:r>
              <w:rPr>
                <w:rFonts w:hint="eastAsia" w:ascii="微软雅黑" w:hAnsi="微软雅黑" w:eastAsia="微软雅黑" w:cs="微软雅黑"/>
                <w:sz w:val="24"/>
                <w:szCs w:val="24"/>
                <w:lang w:val="en-US" w:eastAsia="zh-CN"/>
              </w:rPr>
              <w:tab/>
            </w:r>
            <w:r>
              <w:rPr>
                <w:rFonts w:hint="eastAsia" w:ascii="宋体" w:hAnsi="宋体" w:cs="宋体"/>
                <w:szCs w:val="21"/>
              </w:rPr>
              <w:t>评审因素</w:t>
            </w:r>
          </w:p>
        </w:tc>
        <w:tc>
          <w:tcPr>
            <w:tcW w:w="7586" w:type="dxa"/>
            <w:gridSpan w:val="2"/>
            <w:noWrap/>
          </w:tcPr>
          <w:p w14:paraId="22C1D796">
            <w:pPr>
              <w:spacing w:line="360" w:lineRule="auto"/>
              <w:jc w:val="center"/>
              <w:rPr>
                <w:rFonts w:ascii="宋体" w:hAnsi="宋体" w:cs="宋体"/>
                <w:szCs w:val="21"/>
              </w:rPr>
            </w:pPr>
            <w:r>
              <w:rPr>
                <w:rFonts w:hint="eastAsia" w:ascii="宋体" w:hAnsi="宋体" w:cs="宋体"/>
                <w:szCs w:val="21"/>
              </w:rPr>
              <w:t>评审标准</w:t>
            </w:r>
          </w:p>
        </w:tc>
      </w:tr>
      <w:tr w14:paraId="5A4EF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37EEF424">
            <w:pPr>
              <w:spacing w:line="360" w:lineRule="auto"/>
              <w:jc w:val="center"/>
              <w:rPr>
                <w:rFonts w:ascii="宋体" w:hAnsi="宋体" w:cs="宋体"/>
                <w:szCs w:val="21"/>
              </w:rPr>
            </w:pPr>
            <w:r>
              <w:rPr>
                <w:rFonts w:hint="eastAsia" w:ascii="宋体" w:hAnsi="宋体" w:cs="宋体"/>
                <w:szCs w:val="21"/>
              </w:rPr>
              <w:t>分值构成</w:t>
            </w:r>
          </w:p>
        </w:tc>
        <w:tc>
          <w:tcPr>
            <w:tcW w:w="7586" w:type="dxa"/>
            <w:gridSpan w:val="2"/>
            <w:noWrap/>
          </w:tcPr>
          <w:p w14:paraId="0EE8D9D7">
            <w:pPr>
              <w:spacing w:line="360" w:lineRule="auto"/>
              <w:rPr>
                <w:rFonts w:ascii="宋体" w:hAnsi="宋体" w:cs="宋体"/>
                <w:szCs w:val="21"/>
              </w:rPr>
            </w:pPr>
            <w:r>
              <w:rPr>
                <w:rFonts w:hint="eastAsia" w:ascii="宋体" w:hAnsi="宋体" w:cs="宋体"/>
                <w:szCs w:val="21"/>
                <w:lang w:eastAsia="zh-CN"/>
              </w:rPr>
              <w:t>商务技术</w:t>
            </w:r>
            <w:r>
              <w:rPr>
                <w:rFonts w:hint="eastAsia" w:ascii="宋体" w:hAnsi="宋体" w:cs="宋体"/>
                <w:szCs w:val="21"/>
              </w:rPr>
              <w:t>部分</w:t>
            </w:r>
            <w:r>
              <w:rPr>
                <w:rFonts w:hint="eastAsia" w:ascii="宋体" w:hAnsi="宋体" w:cs="宋体"/>
                <w:color w:val="FF0000"/>
                <w:szCs w:val="21"/>
                <w:highlight w:val="yellow"/>
                <w:lang w:val="en-US" w:eastAsia="zh-CN"/>
              </w:rPr>
              <w:t>70</w:t>
            </w:r>
            <w:r>
              <w:rPr>
                <w:rFonts w:hint="eastAsia" w:ascii="宋体" w:hAnsi="宋体" w:cs="宋体"/>
                <w:color w:val="FF0000"/>
                <w:szCs w:val="21"/>
                <w:highlight w:val="yellow"/>
              </w:rPr>
              <w:t>.0分</w:t>
            </w:r>
          </w:p>
          <w:p w14:paraId="291C36ED">
            <w:pPr>
              <w:spacing w:line="360" w:lineRule="auto"/>
              <w:rPr>
                <w:rFonts w:ascii="宋体" w:hAnsi="宋体" w:cs="宋体"/>
                <w:szCs w:val="21"/>
              </w:rPr>
            </w:pPr>
            <w:r>
              <w:rPr>
                <w:rFonts w:hint="eastAsia" w:ascii="宋体" w:hAnsi="宋体" w:cs="宋体"/>
                <w:szCs w:val="21"/>
              </w:rPr>
              <w:t>价格得分</w:t>
            </w:r>
            <w:r>
              <w:rPr>
                <w:rFonts w:hint="eastAsia" w:ascii="宋体" w:hAnsi="宋体" w:cs="宋体"/>
                <w:color w:val="FF0000"/>
                <w:szCs w:val="21"/>
                <w:highlight w:val="yellow"/>
                <w:lang w:val="en-US" w:eastAsia="zh-CN"/>
              </w:rPr>
              <w:t>3</w:t>
            </w:r>
            <w:r>
              <w:rPr>
                <w:rFonts w:hint="eastAsia" w:ascii="宋体" w:hAnsi="宋体" w:cs="宋体"/>
                <w:color w:val="FF0000"/>
                <w:szCs w:val="21"/>
                <w:highlight w:val="yellow"/>
              </w:rPr>
              <w:t>0.0分</w:t>
            </w:r>
          </w:p>
        </w:tc>
      </w:tr>
      <w:tr w14:paraId="3BEF5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restart"/>
            <w:noWrap/>
            <w:vAlign w:val="center"/>
          </w:tcPr>
          <w:p w14:paraId="13D6E9C5">
            <w:pPr>
              <w:spacing w:line="360" w:lineRule="auto"/>
              <w:jc w:val="center"/>
              <w:rPr>
                <w:rFonts w:ascii="宋体" w:hAnsi="宋体" w:cs="宋体"/>
                <w:szCs w:val="21"/>
              </w:rPr>
            </w:pPr>
            <w:r>
              <w:rPr>
                <w:rFonts w:hint="eastAsia" w:ascii="宋体" w:hAnsi="宋体" w:cs="宋体"/>
                <w:szCs w:val="21"/>
                <w:lang w:eastAsia="zh-CN"/>
              </w:rPr>
              <w:t>商务</w:t>
            </w:r>
            <w:r>
              <w:rPr>
                <w:rFonts w:hint="eastAsia" w:ascii="宋体" w:hAnsi="宋体" w:cs="宋体"/>
                <w:szCs w:val="21"/>
              </w:rPr>
              <w:t>技术部分</w:t>
            </w:r>
          </w:p>
          <w:p w14:paraId="4E05E5EA">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70</w:t>
            </w:r>
            <w:r>
              <w:rPr>
                <w:rFonts w:hint="eastAsia" w:ascii="宋体" w:hAnsi="宋体" w:cs="宋体"/>
                <w:szCs w:val="21"/>
              </w:rPr>
              <w:t>分）</w:t>
            </w:r>
          </w:p>
        </w:tc>
        <w:tc>
          <w:tcPr>
            <w:tcW w:w="1836" w:type="dxa"/>
            <w:noWrap/>
            <w:vAlign w:val="center"/>
          </w:tcPr>
          <w:p w14:paraId="20ED8297">
            <w:pPr>
              <w:spacing w:line="360" w:lineRule="auto"/>
              <w:jc w:val="center"/>
              <w:rPr>
                <w:rFonts w:hint="eastAsia" w:ascii="宋体" w:hAnsi="宋体" w:cs="宋体"/>
                <w:szCs w:val="21"/>
              </w:rPr>
            </w:pPr>
            <w:r>
              <w:rPr>
                <w:rFonts w:hint="eastAsia" w:ascii="宋体" w:hAnsi="宋体"/>
                <w:spacing w:val="-6"/>
                <w:szCs w:val="21"/>
              </w:rPr>
              <w:t>供货方案</w:t>
            </w:r>
            <w:r>
              <w:rPr>
                <w:rFonts w:hint="eastAsia" w:ascii="宋体" w:hAnsi="宋体" w:cs="宋体"/>
                <w:szCs w:val="21"/>
              </w:rPr>
              <w:t xml:space="preserve"> </w:t>
            </w:r>
          </w:p>
          <w:p w14:paraId="289F16E8">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p>
        </w:tc>
        <w:tc>
          <w:tcPr>
            <w:tcW w:w="5750" w:type="dxa"/>
            <w:noWrap/>
          </w:tcPr>
          <w:p w14:paraId="5548A678">
            <w:pPr>
              <w:rPr>
                <w:rFonts w:ascii="宋体" w:hAnsi="宋体"/>
                <w:spacing w:val="-6"/>
                <w:szCs w:val="21"/>
              </w:rPr>
            </w:pPr>
            <w:r>
              <w:rPr>
                <w:rFonts w:hint="eastAsia" w:ascii="宋体" w:hAnsi="宋体"/>
                <w:spacing w:val="-6"/>
                <w:szCs w:val="21"/>
              </w:rPr>
              <w:t>根据供应商提供的供货方案（应包含供货时间安排、运输方案等）进行评分：</w:t>
            </w:r>
          </w:p>
          <w:p w14:paraId="731F5491">
            <w:pPr>
              <w:rPr>
                <w:rFonts w:ascii="宋体" w:hAnsi="宋体"/>
                <w:spacing w:val="-6"/>
                <w:szCs w:val="21"/>
              </w:rPr>
            </w:pPr>
            <w:r>
              <w:rPr>
                <w:rFonts w:hint="eastAsia" w:ascii="宋体" w:hAnsi="宋体"/>
                <w:spacing w:val="-6"/>
                <w:szCs w:val="21"/>
              </w:rPr>
              <w:t xml:space="preserve">1、供货快速，能满足本项目需求，且方案有可靠、有保障的，得 </w:t>
            </w:r>
            <w:r>
              <w:rPr>
                <w:rFonts w:hint="eastAsia" w:ascii="宋体" w:hAnsi="宋体"/>
                <w:spacing w:val="-6"/>
                <w:szCs w:val="21"/>
                <w:lang w:val="en-US" w:eastAsia="zh-CN"/>
              </w:rPr>
              <w:t>2</w:t>
            </w:r>
            <w:r>
              <w:rPr>
                <w:rFonts w:hint="eastAsia" w:ascii="宋体" w:hAnsi="宋体"/>
                <w:spacing w:val="-6"/>
                <w:szCs w:val="21"/>
              </w:rPr>
              <w:t>0分；</w:t>
            </w:r>
          </w:p>
          <w:p w14:paraId="71C2FB80">
            <w:pPr>
              <w:rPr>
                <w:rFonts w:ascii="宋体" w:hAnsi="宋体"/>
                <w:spacing w:val="-6"/>
                <w:szCs w:val="21"/>
              </w:rPr>
            </w:pPr>
            <w:r>
              <w:rPr>
                <w:rFonts w:hint="eastAsia" w:ascii="宋体" w:hAnsi="宋体"/>
                <w:spacing w:val="-6"/>
                <w:szCs w:val="21"/>
              </w:rPr>
              <w:t>2、供货迅速，能满足本项目需求，方案较可靠，较有保障得，得</w:t>
            </w:r>
            <w:r>
              <w:rPr>
                <w:rFonts w:hint="eastAsia" w:ascii="宋体" w:hAnsi="宋体"/>
                <w:spacing w:val="-6"/>
                <w:szCs w:val="21"/>
                <w:lang w:val="en-US" w:eastAsia="zh-CN"/>
              </w:rPr>
              <w:t>10</w:t>
            </w:r>
            <w:r>
              <w:rPr>
                <w:rFonts w:hint="eastAsia" w:ascii="宋体" w:hAnsi="宋体"/>
                <w:spacing w:val="-6"/>
                <w:szCs w:val="21"/>
              </w:rPr>
              <w:t>分；</w:t>
            </w:r>
          </w:p>
          <w:p w14:paraId="24221DC8">
            <w:pPr>
              <w:rPr>
                <w:rFonts w:ascii="宋体" w:hAnsi="宋体"/>
                <w:spacing w:val="-6"/>
                <w:szCs w:val="21"/>
              </w:rPr>
            </w:pPr>
            <w:r>
              <w:rPr>
                <w:rFonts w:hint="eastAsia" w:ascii="宋体" w:hAnsi="宋体"/>
                <w:spacing w:val="-6"/>
                <w:szCs w:val="21"/>
              </w:rPr>
              <w:t xml:space="preserve">3、承诺供货时间能满足本项目需求，但方案欠可靠，保障性一般的，得 </w:t>
            </w:r>
            <w:r>
              <w:rPr>
                <w:rFonts w:hint="eastAsia" w:ascii="宋体" w:hAnsi="宋体"/>
                <w:spacing w:val="-6"/>
                <w:szCs w:val="21"/>
                <w:lang w:val="en-US" w:eastAsia="zh-CN"/>
              </w:rPr>
              <w:t>5</w:t>
            </w:r>
            <w:r>
              <w:rPr>
                <w:rFonts w:hint="eastAsia" w:ascii="宋体" w:hAnsi="宋体"/>
                <w:spacing w:val="-6"/>
                <w:szCs w:val="21"/>
              </w:rPr>
              <w:t>分；</w:t>
            </w:r>
          </w:p>
          <w:p w14:paraId="715CFE81">
            <w:pPr>
              <w:spacing w:line="360" w:lineRule="auto"/>
              <w:rPr>
                <w:rFonts w:ascii="宋体" w:hAnsi="宋体" w:cs="宋体"/>
                <w:szCs w:val="21"/>
              </w:rPr>
            </w:pPr>
            <w:r>
              <w:rPr>
                <w:rFonts w:hint="eastAsia" w:ascii="宋体" w:hAnsi="宋体"/>
                <w:spacing w:val="-6"/>
                <w:szCs w:val="21"/>
              </w:rPr>
              <w:t>4、供货无法满足本项目需求或其他情况的不得分。</w:t>
            </w:r>
          </w:p>
        </w:tc>
      </w:tr>
      <w:tr w14:paraId="511F8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24F9837E">
            <w:pPr>
              <w:spacing w:line="360" w:lineRule="auto"/>
              <w:jc w:val="center"/>
              <w:rPr>
                <w:rFonts w:ascii="宋体" w:hAnsi="宋体" w:cs="宋体"/>
                <w:szCs w:val="21"/>
              </w:rPr>
            </w:pPr>
          </w:p>
        </w:tc>
        <w:tc>
          <w:tcPr>
            <w:tcW w:w="1836" w:type="dxa"/>
            <w:noWrap/>
            <w:vAlign w:val="center"/>
          </w:tcPr>
          <w:p w14:paraId="7CB6B730">
            <w:pPr>
              <w:spacing w:line="360" w:lineRule="auto"/>
              <w:jc w:val="center"/>
              <w:rPr>
                <w:rFonts w:ascii="宋体" w:hAnsi="宋体" w:cs="宋体"/>
                <w:szCs w:val="21"/>
              </w:rPr>
            </w:pPr>
            <w:r>
              <w:rPr>
                <w:rFonts w:hint="eastAsia" w:ascii="宋体" w:hAnsi="宋体" w:cs="宋体"/>
                <w:szCs w:val="21"/>
              </w:rPr>
              <w:t>应急处置方案 (</w:t>
            </w:r>
            <w:r>
              <w:rPr>
                <w:rFonts w:hint="eastAsia" w:ascii="宋体" w:hAnsi="宋体" w:cs="宋体"/>
                <w:szCs w:val="21"/>
                <w:lang w:val="en-US" w:eastAsia="zh-CN"/>
              </w:rPr>
              <w:t>20</w:t>
            </w:r>
            <w:r>
              <w:rPr>
                <w:rFonts w:hint="eastAsia" w:ascii="宋体" w:hAnsi="宋体" w:cs="宋体"/>
                <w:szCs w:val="21"/>
              </w:rPr>
              <w:t>分)</w:t>
            </w:r>
          </w:p>
        </w:tc>
        <w:tc>
          <w:tcPr>
            <w:tcW w:w="5750" w:type="dxa"/>
            <w:noWrap/>
          </w:tcPr>
          <w:p w14:paraId="69878A2C">
            <w:pPr>
              <w:spacing w:line="360" w:lineRule="auto"/>
              <w:rPr>
                <w:rFonts w:ascii="宋体" w:hAnsi="宋体" w:cs="宋体"/>
                <w:szCs w:val="21"/>
              </w:rPr>
            </w:pPr>
            <w:r>
              <w:rPr>
                <w:rFonts w:hint="eastAsia" w:ascii="宋体" w:hAnsi="宋体" w:cs="宋体"/>
                <w:szCs w:val="21"/>
              </w:rPr>
              <w:t>根据供应商所提供的应急预案进行横向比较，分档评分：</w:t>
            </w:r>
          </w:p>
          <w:p w14:paraId="7E8000A2">
            <w:pPr>
              <w:spacing w:line="360" w:lineRule="auto"/>
              <w:rPr>
                <w:rFonts w:ascii="宋体" w:hAnsi="宋体" w:cs="宋体"/>
                <w:szCs w:val="21"/>
              </w:rPr>
            </w:pPr>
            <w:r>
              <w:rPr>
                <w:rFonts w:hint="eastAsia" w:ascii="宋体" w:hAnsi="宋体" w:cs="宋体"/>
                <w:szCs w:val="21"/>
              </w:rPr>
              <w:t>1. 服务应急方案详细且合理，完全满足要求，得</w:t>
            </w:r>
            <w:r>
              <w:rPr>
                <w:rFonts w:hint="eastAsia" w:ascii="宋体" w:hAnsi="宋体" w:cs="宋体"/>
                <w:szCs w:val="21"/>
                <w:lang w:val="en-US" w:eastAsia="zh-CN"/>
              </w:rPr>
              <w:t>20</w:t>
            </w:r>
            <w:r>
              <w:rPr>
                <w:rFonts w:hint="eastAsia" w:ascii="宋体" w:hAnsi="宋体" w:cs="宋体"/>
                <w:szCs w:val="21"/>
              </w:rPr>
              <w:t xml:space="preserve">分； </w:t>
            </w:r>
          </w:p>
          <w:p w14:paraId="0A462D58">
            <w:pPr>
              <w:numPr>
                <w:ilvl w:val="0"/>
                <w:numId w:val="0"/>
              </w:numPr>
              <w:spacing w:line="360" w:lineRule="auto"/>
              <w:rPr>
                <w:rFonts w:ascii="宋体" w:hAnsi="宋体" w:cs="宋体"/>
                <w:szCs w:val="21"/>
              </w:rPr>
            </w:pPr>
            <w:r>
              <w:rPr>
                <w:rFonts w:ascii="宋体" w:hAnsi="宋体" w:eastAsia="宋体" w:cs="宋体"/>
                <w:kern w:val="2"/>
                <w:sz w:val="24"/>
                <w:szCs w:val="21"/>
                <w:lang w:val="en-US" w:eastAsia="zh-CN" w:bidi="ar-SA"/>
              </w:rPr>
              <w:t>2.</w:t>
            </w:r>
            <w:r>
              <w:rPr>
                <w:rFonts w:hint="eastAsia" w:ascii="宋体" w:hAnsi="宋体" w:cs="宋体"/>
                <w:szCs w:val="21"/>
              </w:rPr>
              <w:t>服务应急方案较合理，能满足要求，得</w:t>
            </w:r>
            <w:r>
              <w:rPr>
                <w:rFonts w:hint="eastAsia" w:ascii="宋体" w:hAnsi="宋体" w:cs="宋体"/>
                <w:szCs w:val="21"/>
                <w:lang w:val="en-US" w:eastAsia="zh-CN"/>
              </w:rPr>
              <w:t>15</w:t>
            </w:r>
            <w:r>
              <w:rPr>
                <w:rFonts w:hint="eastAsia" w:ascii="宋体" w:hAnsi="宋体" w:cs="宋体"/>
                <w:szCs w:val="21"/>
              </w:rPr>
              <w:t xml:space="preserve">分； </w:t>
            </w:r>
          </w:p>
          <w:p w14:paraId="0DE52862">
            <w:pPr>
              <w:numPr>
                <w:ilvl w:val="0"/>
                <w:numId w:val="0"/>
              </w:numPr>
              <w:spacing w:line="360" w:lineRule="auto"/>
              <w:rPr>
                <w:rFonts w:ascii="宋体" w:hAnsi="宋体" w:cs="宋体"/>
                <w:szCs w:val="21"/>
              </w:rPr>
            </w:pPr>
            <w:r>
              <w:rPr>
                <w:rFonts w:ascii="宋体" w:hAnsi="宋体" w:eastAsia="宋体" w:cs="宋体"/>
                <w:kern w:val="2"/>
                <w:sz w:val="24"/>
                <w:szCs w:val="21"/>
                <w:lang w:val="en-US" w:eastAsia="zh-CN" w:bidi="ar-SA"/>
              </w:rPr>
              <w:t>3.</w:t>
            </w:r>
            <w:r>
              <w:rPr>
                <w:rFonts w:hint="eastAsia" w:ascii="宋体" w:hAnsi="宋体" w:cs="宋体"/>
                <w:szCs w:val="21"/>
              </w:rPr>
              <w:t>服务应急方案有缺陷，能基本满足要求，得</w:t>
            </w:r>
            <w:r>
              <w:rPr>
                <w:rFonts w:hint="eastAsia" w:ascii="宋体" w:hAnsi="宋体" w:cs="宋体"/>
                <w:szCs w:val="21"/>
                <w:lang w:val="en-US" w:eastAsia="zh-CN"/>
              </w:rPr>
              <w:t>10</w:t>
            </w:r>
            <w:r>
              <w:rPr>
                <w:rFonts w:hint="eastAsia" w:ascii="宋体" w:hAnsi="宋体" w:cs="宋体"/>
                <w:szCs w:val="21"/>
              </w:rPr>
              <w:t xml:space="preserve">分； </w:t>
            </w:r>
          </w:p>
          <w:p w14:paraId="152F0276">
            <w:pPr>
              <w:numPr>
                <w:ilvl w:val="0"/>
                <w:numId w:val="0"/>
              </w:numPr>
              <w:spacing w:line="360" w:lineRule="auto"/>
              <w:ind w:left="0" w:leftChars="0" w:firstLine="0" w:firstLineChars="0"/>
              <w:rPr>
                <w:rFonts w:hint="eastAsia" w:ascii="宋体" w:hAnsi="宋体" w:cs="宋体"/>
                <w:szCs w:val="21"/>
              </w:rPr>
            </w:pPr>
            <w:r>
              <w:rPr>
                <w:rFonts w:hint="eastAsia" w:ascii="宋体" w:hAnsi="宋体" w:eastAsia="宋体" w:cs="宋体"/>
                <w:kern w:val="2"/>
                <w:sz w:val="24"/>
                <w:szCs w:val="21"/>
                <w:lang w:val="en-US" w:eastAsia="zh-CN" w:bidi="ar-SA"/>
              </w:rPr>
              <w:t>4.</w:t>
            </w:r>
            <w:r>
              <w:rPr>
                <w:rFonts w:hint="eastAsia" w:ascii="宋体" w:hAnsi="宋体" w:cs="宋体"/>
                <w:szCs w:val="21"/>
              </w:rPr>
              <w:t>服务应急方案不合理，得</w:t>
            </w:r>
            <w:r>
              <w:rPr>
                <w:rFonts w:hint="eastAsia" w:ascii="宋体" w:hAnsi="宋体" w:cs="宋体"/>
                <w:szCs w:val="21"/>
                <w:lang w:val="en-US" w:eastAsia="zh-CN"/>
              </w:rPr>
              <w:t>5</w:t>
            </w:r>
            <w:r>
              <w:rPr>
                <w:rFonts w:hint="eastAsia" w:ascii="宋体" w:hAnsi="宋体" w:cs="宋体"/>
                <w:szCs w:val="21"/>
              </w:rPr>
              <w:t>分。</w:t>
            </w:r>
          </w:p>
          <w:p w14:paraId="7CAE3480">
            <w:pPr>
              <w:numPr>
                <w:ilvl w:val="0"/>
                <w:numId w:val="0"/>
              </w:numPr>
              <w:spacing w:line="360" w:lineRule="auto"/>
              <w:ind w:leftChars="0"/>
              <w:rPr>
                <w:rFonts w:hint="eastAsia" w:ascii="宋体" w:hAnsi="宋体" w:cs="宋体"/>
                <w:szCs w:val="21"/>
              </w:rPr>
            </w:pPr>
            <w:r>
              <w:rPr>
                <w:rFonts w:hint="eastAsia" w:ascii="宋体" w:hAnsi="宋体" w:cs="宋体"/>
                <w:szCs w:val="21"/>
              </w:rPr>
              <w:t>注：无相关方案的，不得分。</w:t>
            </w:r>
          </w:p>
        </w:tc>
      </w:tr>
      <w:tr w14:paraId="409A3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09A77DAF">
            <w:pPr>
              <w:spacing w:line="360" w:lineRule="auto"/>
              <w:jc w:val="center"/>
              <w:rPr>
                <w:rFonts w:ascii="宋体" w:hAnsi="宋体" w:cs="宋体"/>
                <w:szCs w:val="21"/>
              </w:rPr>
            </w:pPr>
          </w:p>
        </w:tc>
        <w:tc>
          <w:tcPr>
            <w:tcW w:w="1836" w:type="dxa"/>
            <w:noWrap/>
            <w:vAlign w:val="center"/>
          </w:tcPr>
          <w:p w14:paraId="371E3563">
            <w:pPr>
              <w:spacing w:line="360" w:lineRule="auto"/>
              <w:jc w:val="center"/>
              <w:rPr>
                <w:rFonts w:hint="default" w:ascii="宋体" w:hAnsi="宋体" w:cs="宋体"/>
                <w:szCs w:val="21"/>
                <w:lang w:val="en-US" w:eastAsia="zh-CN"/>
              </w:rPr>
            </w:pPr>
            <w:r>
              <w:rPr>
                <w:rFonts w:hint="eastAsia" w:ascii="宋体" w:hAnsi="宋体" w:cs="宋体"/>
                <w:szCs w:val="21"/>
              </w:rPr>
              <w:t>售后服务方案</w:t>
            </w:r>
            <w:r>
              <w:rPr>
                <w:rFonts w:hint="eastAsia" w:ascii="宋体" w:hAnsi="宋体" w:cs="宋体"/>
                <w:szCs w:val="21"/>
                <w:lang w:eastAsia="zh-CN"/>
              </w:rPr>
              <w:t>（</w:t>
            </w:r>
            <w:r>
              <w:rPr>
                <w:rFonts w:hint="eastAsia" w:ascii="宋体" w:hAnsi="宋体" w:cs="宋体"/>
                <w:szCs w:val="21"/>
                <w:lang w:val="en-US" w:eastAsia="zh-CN"/>
              </w:rPr>
              <w:t>10分）</w:t>
            </w:r>
          </w:p>
        </w:tc>
        <w:tc>
          <w:tcPr>
            <w:tcW w:w="5750" w:type="dxa"/>
            <w:noWrap/>
          </w:tcPr>
          <w:p w14:paraId="6FBBEB97">
            <w:pPr>
              <w:numPr>
                <w:ilvl w:val="0"/>
                <w:numId w:val="0"/>
              </w:numPr>
              <w:spacing w:line="360" w:lineRule="auto"/>
              <w:ind w:leftChars="0"/>
              <w:rPr>
                <w:rFonts w:hint="eastAsia" w:ascii="宋体" w:hAnsi="宋体" w:cs="宋体"/>
                <w:szCs w:val="21"/>
                <w:lang w:eastAsia="zh-CN"/>
              </w:rPr>
            </w:pPr>
            <w:r>
              <w:rPr>
                <w:rFonts w:hint="eastAsia" w:ascii="宋体" w:hAnsi="宋体" w:cs="宋体"/>
                <w:szCs w:val="21"/>
              </w:rPr>
              <w:t>根据</w:t>
            </w:r>
            <w:r>
              <w:rPr>
                <w:rFonts w:hint="eastAsia" w:ascii="宋体" w:hAnsi="宋体" w:cs="宋体"/>
                <w:szCs w:val="21"/>
                <w:lang w:eastAsia="zh-CN"/>
              </w:rPr>
              <w:t>供应商</w:t>
            </w:r>
            <w:r>
              <w:rPr>
                <w:rFonts w:hint="eastAsia" w:ascii="宋体" w:hAnsi="宋体" w:cs="宋体"/>
                <w:szCs w:val="21"/>
              </w:rPr>
              <w:t>提供的售后服务保证方案（包括包含但不限于客户投诉专职对接人员、退还货处理流程、应急突发事件处理方案等）进行评审</w:t>
            </w:r>
            <w:r>
              <w:rPr>
                <w:rFonts w:hint="eastAsia" w:ascii="宋体" w:hAnsi="宋体" w:cs="宋体"/>
                <w:szCs w:val="21"/>
                <w:lang w:eastAsia="zh-CN"/>
              </w:rPr>
              <w:t>：</w:t>
            </w:r>
          </w:p>
          <w:p w14:paraId="62F549F1">
            <w:pPr>
              <w:numPr>
                <w:ilvl w:val="0"/>
                <w:numId w:val="0"/>
              </w:numPr>
              <w:spacing w:line="360" w:lineRule="auto"/>
              <w:ind w:left="0" w:leftChars="0" w:firstLine="0" w:firstLineChars="0"/>
              <w:rPr>
                <w:rFonts w:hint="eastAsia" w:ascii="宋体" w:hAnsi="宋体" w:cs="宋体"/>
                <w:szCs w:val="21"/>
              </w:rPr>
            </w:pPr>
            <w:r>
              <w:rPr>
                <w:rFonts w:hint="eastAsia" w:ascii="宋体" w:hAnsi="宋体" w:cs="宋体"/>
                <w:kern w:val="2"/>
                <w:sz w:val="24"/>
                <w:szCs w:val="21"/>
                <w:lang w:val="en-US" w:eastAsia="zh-CN" w:bidi="ar-SA"/>
              </w:rPr>
              <w:t>1.</w:t>
            </w:r>
            <w:r>
              <w:rPr>
                <w:rFonts w:hint="eastAsia" w:ascii="宋体" w:hAnsi="宋体" w:cs="宋体"/>
                <w:szCs w:val="21"/>
              </w:rPr>
              <w:t>售后服务方案合理可行，能针对本项目实际要求提供可行、可操作且详细的质量保证措施，得</w:t>
            </w:r>
            <w:r>
              <w:rPr>
                <w:rFonts w:hint="eastAsia" w:ascii="宋体" w:hAnsi="宋体" w:cs="宋体"/>
                <w:szCs w:val="21"/>
                <w:lang w:val="en-US" w:eastAsia="zh-CN"/>
              </w:rPr>
              <w:t>10</w:t>
            </w:r>
            <w:r>
              <w:rPr>
                <w:rFonts w:hint="eastAsia" w:ascii="宋体" w:hAnsi="宋体" w:cs="宋体"/>
                <w:szCs w:val="21"/>
              </w:rPr>
              <w:t>分；</w:t>
            </w:r>
          </w:p>
          <w:p w14:paraId="01FDFC80">
            <w:pPr>
              <w:numPr>
                <w:ilvl w:val="0"/>
                <w:numId w:val="0"/>
              </w:numPr>
              <w:spacing w:line="360" w:lineRule="auto"/>
              <w:ind w:left="0" w:leftChars="0" w:firstLine="0" w:firstLineChars="0"/>
              <w:rPr>
                <w:rFonts w:hint="eastAsia" w:ascii="宋体" w:hAnsi="宋体" w:cs="宋体"/>
                <w:szCs w:val="21"/>
              </w:rPr>
            </w:pPr>
            <w:r>
              <w:rPr>
                <w:rFonts w:hint="eastAsia" w:ascii="宋体" w:hAnsi="宋体" w:cs="宋体"/>
                <w:kern w:val="2"/>
                <w:sz w:val="24"/>
                <w:szCs w:val="21"/>
                <w:lang w:val="en-US" w:eastAsia="zh-CN" w:bidi="ar-SA"/>
              </w:rPr>
              <w:t>2.</w:t>
            </w:r>
            <w:r>
              <w:rPr>
                <w:rFonts w:hint="eastAsia" w:ascii="宋体" w:hAnsi="宋体" w:cs="宋体"/>
                <w:szCs w:val="21"/>
              </w:rPr>
              <w:t>售后服务方案较合理可行，质量保证措施有一定针对性，内容较完善，得</w:t>
            </w:r>
            <w:r>
              <w:rPr>
                <w:rFonts w:hint="eastAsia" w:ascii="宋体" w:hAnsi="宋体" w:cs="宋体"/>
                <w:szCs w:val="21"/>
                <w:lang w:val="en-US" w:eastAsia="zh-CN"/>
              </w:rPr>
              <w:t>7</w:t>
            </w:r>
            <w:r>
              <w:rPr>
                <w:rFonts w:hint="eastAsia" w:ascii="宋体" w:hAnsi="宋体" w:cs="宋体"/>
                <w:szCs w:val="21"/>
              </w:rPr>
              <w:t>分；</w:t>
            </w:r>
          </w:p>
          <w:p w14:paraId="76EDCBA0">
            <w:pPr>
              <w:numPr>
                <w:ilvl w:val="0"/>
                <w:numId w:val="0"/>
              </w:numPr>
              <w:spacing w:line="360" w:lineRule="auto"/>
              <w:ind w:left="0" w:leftChars="0" w:firstLine="0" w:firstLineChars="0"/>
              <w:rPr>
                <w:rFonts w:hint="eastAsia" w:ascii="宋体" w:hAnsi="宋体" w:cs="宋体"/>
                <w:szCs w:val="21"/>
              </w:rPr>
            </w:pPr>
            <w:r>
              <w:rPr>
                <w:rFonts w:hint="eastAsia" w:ascii="宋体" w:hAnsi="宋体" w:cs="宋体"/>
                <w:kern w:val="2"/>
                <w:sz w:val="24"/>
                <w:szCs w:val="21"/>
                <w:lang w:val="en-US" w:eastAsia="zh-CN" w:bidi="ar-SA"/>
              </w:rPr>
              <w:t>3.</w:t>
            </w:r>
            <w:r>
              <w:rPr>
                <w:rFonts w:hint="eastAsia" w:ascii="宋体" w:hAnsi="宋体" w:cs="宋体"/>
                <w:szCs w:val="21"/>
              </w:rPr>
              <w:t>售后服务方案一般、质量保证措施一般缺乏针对性，内容较为普通，基本满足项目要求，得</w:t>
            </w:r>
            <w:r>
              <w:rPr>
                <w:rFonts w:hint="eastAsia" w:ascii="宋体" w:hAnsi="宋体" w:cs="宋体"/>
                <w:szCs w:val="21"/>
                <w:lang w:val="en-US" w:eastAsia="zh-CN"/>
              </w:rPr>
              <w:t>4</w:t>
            </w:r>
            <w:r>
              <w:rPr>
                <w:rFonts w:hint="eastAsia" w:ascii="宋体" w:hAnsi="宋体" w:cs="宋体"/>
                <w:szCs w:val="21"/>
              </w:rPr>
              <w:t>分；</w:t>
            </w:r>
          </w:p>
          <w:p w14:paraId="13D3F898">
            <w:pPr>
              <w:numPr>
                <w:ilvl w:val="0"/>
                <w:numId w:val="0"/>
              </w:numPr>
              <w:spacing w:line="360" w:lineRule="auto"/>
              <w:ind w:left="0" w:leftChars="0" w:firstLine="0" w:firstLineChars="0"/>
              <w:rPr>
                <w:rFonts w:hint="eastAsia" w:ascii="宋体" w:hAnsi="宋体" w:cs="宋体"/>
                <w:szCs w:val="21"/>
              </w:rPr>
            </w:pPr>
            <w:r>
              <w:rPr>
                <w:rFonts w:hint="eastAsia" w:ascii="宋体" w:hAnsi="宋体" w:cs="宋体"/>
                <w:kern w:val="2"/>
                <w:sz w:val="24"/>
                <w:szCs w:val="21"/>
                <w:lang w:val="en-US" w:eastAsia="zh-CN" w:bidi="ar-SA"/>
              </w:rPr>
              <w:t>4.</w:t>
            </w:r>
            <w:r>
              <w:rPr>
                <w:rFonts w:hint="eastAsia" w:ascii="宋体" w:hAnsi="宋体" w:cs="宋体"/>
                <w:szCs w:val="21"/>
              </w:rPr>
              <w:t>售后服务方案较差、质量保证措施有重大偏差或缺漏，得</w:t>
            </w:r>
            <w:r>
              <w:rPr>
                <w:rFonts w:hint="eastAsia" w:ascii="宋体" w:hAnsi="宋体" w:cs="宋体"/>
                <w:szCs w:val="21"/>
                <w:lang w:val="en-US" w:eastAsia="zh-CN"/>
              </w:rPr>
              <w:t>1</w:t>
            </w:r>
            <w:r>
              <w:rPr>
                <w:rFonts w:hint="eastAsia" w:ascii="宋体" w:hAnsi="宋体" w:cs="宋体"/>
                <w:szCs w:val="21"/>
              </w:rPr>
              <w:t>分；</w:t>
            </w:r>
          </w:p>
          <w:p w14:paraId="309C38AC">
            <w:pPr>
              <w:numPr>
                <w:ilvl w:val="0"/>
                <w:numId w:val="0"/>
              </w:numPr>
              <w:spacing w:line="360" w:lineRule="auto"/>
              <w:ind w:left="0" w:leftChars="0" w:firstLine="0" w:firstLineChars="0"/>
              <w:rPr>
                <w:rFonts w:hint="eastAsia" w:ascii="宋体" w:hAnsi="宋体" w:cs="宋体"/>
                <w:szCs w:val="21"/>
              </w:rPr>
            </w:pPr>
            <w:r>
              <w:rPr>
                <w:rFonts w:hint="eastAsia" w:ascii="宋体" w:hAnsi="宋体" w:cs="宋体"/>
                <w:kern w:val="2"/>
                <w:sz w:val="24"/>
                <w:szCs w:val="21"/>
                <w:lang w:val="en-US" w:eastAsia="zh-CN" w:bidi="ar-SA"/>
              </w:rPr>
              <w:t>5.</w:t>
            </w:r>
            <w:r>
              <w:rPr>
                <w:rFonts w:hint="eastAsia" w:ascii="宋体" w:hAnsi="宋体" w:cs="宋体"/>
                <w:szCs w:val="21"/>
              </w:rPr>
              <w:t>不提供方案不得分。</w:t>
            </w:r>
          </w:p>
        </w:tc>
      </w:tr>
      <w:tr w14:paraId="1E3CE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69" w:hRule="atLeast"/>
          <w:jc w:val="center"/>
        </w:trPr>
        <w:tc>
          <w:tcPr>
            <w:tcW w:w="1862" w:type="dxa"/>
            <w:vMerge w:val="continue"/>
            <w:noWrap/>
            <w:vAlign w:val="center"/>
          </w:tcPr>
          <w:p w14:paraId="7131AFB6">
            <w:pPr>
              <w:spacing w:line="360" w:lineRule="auto"/>
              <w:jc w:val="center"/>
              <w:rPr>
                <w:rFonts w:ascii="宋体" w:hAnsi="宋体" w:cs="宋体"/>
                <w:szCs w:val="21"/>
              </w:rPr>
            </w:pPr>
          </w:p>
        </w:tc>
        <w:tc>
          <w:tcPr>
            <w:tcW w:w="1836" w:type="dxa"/>
            <w:noWrap/>
            <w:vAlign w:val="center"/>
          </w:tcPr>
          <w:p w14:paraId="6A428AAD">
            <w:pPr>
              <w:spacing w:line="360" w:lineRule="auto"/>
              <w:jc w:val="center"/>
              <w:rPr>
                <w:rFonts w:ascii="宋体" w:hAnsi="宋体" w:cs="宋体"/>
                <w:szCs w:val="21"/>
              </w:rPr>
            </w:pPr>
            <w:r>
              <w:rPr>
                <w:rFonts w:hint="eastAsia" w:ascii="宋体" w:hAnsi="宋体" w:cs="宋体"/>
                <w:szCs w:val="21"/>
              </w:rPr>
              <w:t>同类项目业绩</w:t>
            </w:r>
          </w:p>
          <w:p w14:paraId="4F5CCC31">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分)</w:t>
            </w:r>
          </w:p>
        </w:tc>
        <w:tc>
          <w:tcPr>
            <w:tcW w:w="5750" w:type="dxa"/>
            <w:noWrap/>
          </w:tcPr>
          <w:p w14:paraId="68EF365D">
            <w:pPr>
              <w:spacing w:line="360" w:lineRule="auto"/>
              <w:rPr>
                <w:rFonts w:ascii="宋体" w:hAnsi="宋体" w:cs="宋体"/>
                <w:szCs w:val="21"/>
              </w:rPr>
            </w:pPr>
            <w:r>
              <w:rPr>
                <w:rFonts w:hint="eastAsia" w:ascii="宋体" w:hAnsi="宋体" w:cs="宋体"/>
                <w:szCs w:val="21"/>
              </w:rPr>
              <w:t>供应商自2023年1月1日以来（以合同生效时间为准）承接过的同类项目业绩合同，每提供一个同类项目合同得</w:t>
            </w:r>
            <w:r>
              <w:rPr>
                <w:rFonts w:hint="eastAsia" w:ascii="宋体" w:hAnsi="宋体" w:cs="宋体"/>
                <w:szCs w:val="21"/>
                <w:lang w:val="en-US" w:eastAsia="zh-CN"/>
              </w:rPr>
              <w:t>3</w:t>
            </w:r>
            <w:r>
              <w:rPr>
                <w:rFonts w:hint="eastAsia" w:ascii="宋体" w:hAnsi="宋体" w:cs="宋体"/>
                <w:szCs w:val="21"/>
              </w:rPr>
              <w:t>分；本项最高得</w:t>
            </w:r>
            <w:r>
              <w:rPr>
                <w:rFonts w:hint="eastAsia" w:ascii="宋体" w:hAnsi="宋体" w:cs="宋体"/>
                <w:szCs w:val="21"/>
                <w:lang w:val="en-US" w:eastAsia="zh-CN"/>
              </w:rPr>
              <w:t>15</w:t>
            </w:r>
            <w:r>
              <w:rPr>
                <w:rFonts w:hint="eastAsia" w:ascii="宋体" w:hAnsi="宋体" w:cs="宋体"/>
                <w:szCs w:val="21"/>
              </w:rPr>
              <w:t xml:space="preserve">分。 </w:t>
            </w:r>
          </w:p>
          <w:p w14:paraId="07205AB1">
            <w:pPr>
              <w:spacing w:line="360" w:lineRule="auto"/>
              <w:rPr>
                <w:rFonts w:ascii="宋体" w:hAnsi="宋体" w:cs="宋体"/>
                <w:szCs w:val="21"/>
              </w:rPr>
            </w:pPr>
            <w:r>
              <w:rPr>
                <w:rFonts w:hint="eastAsia" w:ascii="宋体" w:hAnsi="宋体" w:cs="宋体"/>
                <w:szCs w:val="21"/>
              </w:rPr>
              <w:t>注：同一项目不同年份的合同按一份计算，不重复计算分数。同一业主续签不重复计分。须提供合同复印件，并加盖公章。</w:t>
            </w:r>
          </w:p>
        </w:tc>
      </w:tr>
      <w:tr w14:paraId="2744A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6524C7F3">
            <w:pPr>
              <w:spacing w:line="360" w:lineRule="auto"/>
              <w:jc w:val="center"/>
              <w:rPr>
                <w:rFonts w:ascii="宋体" w:hAnsi="宋体" w:cs="宋体"/>
                <w:szCs w:val="21"/>
              </w:rPr>
            </w:pPr>
          </w:p>
        </w:tc>
        <w:tc>
          <w:tcPr>
            <w:tcW w:w="1836" w:type="dxa"/>
            <w:noWrap/>
            <w:vAlign w:val="center"/>
          </w:tcPr>
          <w:p w14:paraId="25C8E696">
            <w:pPr>
              <w:spacing w:line="360" w:lineRule="auto"/>
              <w:jc w:val="center"/>
              <w:rPr>
                <w:rFonts w:ascii="宋体" w:hAnsi="宋体" w:cs="宋体"/>
                <w:szCs w:val="21"/>
              </w:rPr>
            </w:pPr>
            <w:r>
              <w:rPr>
                <w:rFonts w:hint="eastAsia" w:ascii="宋体" w:hAnsi="宋体" w:cs="宋体"/>
                <w:szCs w:val="21"/>
              </w:rPr>
              <w:t>客户服务评价（依据提供的同类项目业绩的业主评价）</w:t>
            </w:r>
          </w:p>
          <w:p w14:paraId="12CBB50E">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分)</w:t>
            </w:r>
          </w:p>
        </w:tc>
        <w:tc>
          <w:tcPr>
            <w:tcW w:w="5750" w:type="dxa"/>
            <w:noWrap/>
          </w:tcPr>
          <w:p w14:paraId="45C69B72">
            <w:pPr>
              <w:spacing w:line="360" w:lineRule="auto"/>
              <w:rPr>
                <w:rFonts w:hint="eastAsia" w:ascii="宋体" w:hAnsi="宋体" w:cs="宋体"/>
                <w:szCs w:val="21"/>
              </w:rPr>
            </w:pPr>
            <w:bookmarkStart w:id="1" w:name="_GoBack"/>
            <w:r>
              <w:rPr>
                <w:rFonts w:hint="eastAsia" w:ascii="宋体" w:hAnsi="宋体" w:cs="宋体"/>
                <w:szCs w:val="21"/>
              </w:rPr>
              <w:t>每提供一份2023年以来提供的同类项目业绩的评价为满意或优或优秀等正面评价的，每个用户评价得</w:t>
            </w:r>
            <w:r>
              <w:rPr>
                <w:rFonts w:hint="eastAsia" w:ascii="宋体" w:hAnsi="宋体" w:cs="宋体"/>
                <w:szCs w:val="21"/>
                <w:lang w:val="en-US" w:eastAsia="zh-CN"/>
              </w:rPr>
              <w:t>1</w:t>
            </w:r>
            <w:r>
              <w:rPr>
                <w:rFonts w:hint="eastAsia" w:ascii="宋体" w:hAnsi="宋体" w:cs="宋体"/>
                <w:szCs w:val="21"/>
              </w:rPr>
              <w:t>分。本项最高得</w:t>
            </w:r>
            <w:r>
              <w:rPr>
                <w:rFonts w:hint="eastAsia" w:ascii="宋体" w:hAnsi="宋体" w:cs="宋体"/>
                <w:szCs w:val="21"/>
                <w:lang w:val="en-US" w:eastAsia="zh-CN"/>
              </w:rPr>
              <w:t>5</w:t>
            </w:r>
            <w:r>
              <w:rPr>
                <w:rFonts w:hint="eastAsia" w:ascii="宋体" w:hAnsi="宋体" w:cs="宋体"/>
                <w:szCs w:val="21"/>
              </w:rPr>
              <w:t>分。</w:t>
            </w:r>
          </w:p>
          <w:bookmarkEnd w:id="1"/>
          <w:p w14:paraId="504301FB">
            <w:pPr>
              <w:spacing w:line="360" w:lineRule="auto"/>
              <w:rPr>
                <w:rFonts w:ascii="宋体" w:hAnsi="宋体" w:cs="宋体"/>
                <w:szCs w:val="21"/>
              </w:rPr>
            </w:pPr>
            <w:r>
              <w:rPr>
                <w:rFonts w:hint="eastAsia" w:ascii="宋体" w:hAnsi="宋体" w:cs="宋体"/>
                <w:szCs w:val="21"/>
              </w:rPr>
              <w:t>注：请供应商严格按照要求提交相关证明材料，否则有可能影响评审结果。提供评价的证明文件复印件，并加盖公章。</w:t>
            </w:r>
          </w:p>
        </w:tc>
      </w:tr>
      <w:tr w14:paraId="21CBB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53BA3722">
            <w:pPr>
              <w:spacing w:line="360" w:lineRule="auto"/>
              <w:jc w:val="center"/>
              <w:rPr>
                <w:rFonts w:hint="eastAsia" w:ascii="宋体" w:hAnsi="宋体" w:cs="宋体"/>
                <w:szCs w:val="21"/>
              </w:rPr>
            </w:pPr>
            <w:r>
              <w:rPr>
                <w:rFonts w:hint="eastAsia" w:ascii="宋体" w:hAnsi="宋体" w:cs="宋体"/>
                <w:szCs w:val="21"/>
              </w:rPr>
              <w:t>价格部分</w:t>
            </w:r>
          </w:p>
          <w:p w14:paraId="001ED6C5">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0分）</w:t>
            </w:r>
          </w:p>
        </w:tc>
        <w:tc>
          <w:tcPr>
            <w:tcW w:w="1836" w:type="dxa"/>
            <w:noWrap/>
            <w:vAlign w:val="center"/>
          </w:tcPr>
          <w:p w14:paraId="35153053">
            <w:pPr>
              <w:spacing w:line="360" w:lineRule="auto"/>
              <w:jc w:val="center"/>
              <w:rPr>
                <w:rFonts w:hint="eastAsia" w:ascii="宋体" w:hAnsi="宋体" w:cs="宋体"/>
                <w:szCs w:val="21"/>
              </w:rPr>
            </w:pPr>
            <w:r>
              <w:rPr>
                <w:rFonts w:hint="eastAsia" w:ascii="宋体" w:hAnsi="宋体" w:cs="宋体"/>
                <w:szCs w:val="21"/>
              </w:rPr>
              <w:t xml:space="preserve">报价得分 </w:t>
            </w:r>
          </w:p>
          <w:p w14:paraId="113F52E1">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0分)</w:t>
            </w:r>
          </w:p>
        </w:tc>
        <w:tc>
          <w:tcPr>
            <w:tcW w:w="5750" w:type="dxa"/>
            <w:noWrap/>
          </w:tcPr>
          <w:p w14:paraId="30D08073">
            <w:pPr>
              <w:spacing w:line="360" w:lineRule="auto"/>
              <w:rPr>
                <w:rFonts w:hint="default" w:ascii="宋体" w:hAnsi="宋体" w:eastAsia="宋体" w:cs="宋体"/>
                <w:szCs w:val="21"/>
                <w:lang w:val="en-US" w:eastAsia="zh-CN"/>
              </w:rPr>
            </w:pPr>
            <w:r>
              <w:rPr>
                <w:rFonts w:hint="eastAsia" w:ascii="宋体" w:hAnsi="宋体" w:cs="宋体"/>
                <w:szCs w:val="21"/>
              </w:rPr>
              <w:t>报价得分＝（评标基准价/总报价）×价格分值</w:t>
            </w:r>
            <w:r>
              <w:rPr>
                <w:rFonts w:hint="eastAsia" w:ascii="宋体" w:hAnsi="宋体" w:cs="宋体"/>
                <w:szCs w:val="21"/>
                <w:lang w:eastAsia="zh-CN"/>
              </w:rPr>
              <w:t>（</w:t>
            </w:r>
            <w:r>
              <w:rPr>
                <w:rFonts w:hint="eastAsia" w:ascii="宋体" w:hAnsi="宋体" w:cs="宋体"/>
                <w:szCs w:val="21"/>
                <w:lang w:val="en-US" w:eastAsia="zh-CN"/>
              </w:rPr>
              <w:t>30）</w:t>
            </w:r>
          </w:p>
          <w:p w14:paraId="638D75E0">
            <w:pPr>
              <w:spacing w:line="360" w:lineRule="auto"/>
              <w:rPr>
                <w:rFonts w:ascii="宋体" w:hAnsi="宋体" w:cs="宋体"/>
                <w:szCs w:val="21"/>
              </w:rPr>
            </w:pPr>
            <w:r>
              <w:rPr>
                <w:rFonts w:hint="eastAsia" w:ascii="宋体" w:hAnsi="宋体" w:cs="宋体"/>
                <w:szCs w:val="21"/>
              </w:rPr>
              <w:t>【注：满足要求且价格最低的总报价为评标基准价。】最低报价不是</w:t>
            </w:r>
            <w:r>
              <w:rPr>
                <w:rFonts w:hint="eastAsia" w:ascii="宋体" w:hAnsi="宋体" w:cs="宋体"/>
                <w:szCs w:val="21"/>
                <w:lang w:eastAsia="zh-CN"/>
              </w:rPr>
              <w:t>成交</w:t>
            </w:r>
            <w:r>
              <w:rPr>
                <w:rFonts w:hint="eastAsia" w:ascii="宋体" w:hAnsi="宋体" w:cs="宋体"/>
                <w:szCs w:val="21"/>
              </w:rPr>
              <w:t>的唯一依据。</w:t>
            </w:r>
          </w:p>
        </w:tc>
      </w:tr>
    </w:tbl>
    <w:p w14:paraId="0C19598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7736">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01F58">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501F58">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1E8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44F7B2B"/>
    <w:rsid w:val="07FE3037"/>
    <w:rsid w:val="09AE6AAA"/>
    <w:rsid w:val="108C1CE9"/>
    <w:rsid w:val="1EC341D8"/>
    <w:rsid w:val="2D6306CC"/>
    <w:rsid w:val="33557238"/>
    <w:rsid w:val="38087DB2"/>
    <w:rsid w:val="3DBF0FE8"/>
    <w:rsid w:val="525B2FE1"/>
    <w:rsid w:val="55DC2963"/>
    <w:rsid w:val="5AB36DD5"/>
    <w:rsid w:val="6044285D"/>
    <w:rsid w:val="60DF1113"/>
    <w:rsid w:val="6158132F"/>
    <w:rsid w:val="71321BD9"/>
    <w:rsid w:val="740C4C1D"/>
    <w:rsid w:val="789F73F8"/>
    <w:rsid w:val="7A914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paragraph" w:customStyle="1" w:styleId="22">
    <w:name w:val="List Paragraph1"/>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2533</Words>
  <Characters>2639</Characters>
  <Lines>0</Lines>
  <Paragraphs>0</Paragraphs>
  <TotalTime>269</TotalTime>
  <ScaleCrop>false</ScaleCrop>
  <LinksUpToDate>false</LinksUpToDate>
  <CharactersWithSpaces>2661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2026-02-04T06:30:55Z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0078322C9F994E56A3840D7AAA500C19_11</vt:lpwstr>
  </property>
  <property fmtid="{D5CDD505-2E9C-101B-9397-08002B2CF9AE}" pid="4" name="KSOTemplateDocerSaveRecord">
    <vt:lpwstr>eyJoZGlkIjoiN2M1YWNmZTFiMDBlYjdkNDJjOTA0ZjFkNDA2N2FmZWUiLCJ1c2VySWQiOiI2NDkzNjEyODAifQ==</vt:lpwstr>
  </property>
</Properties>
</file>