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auto"/>
          <w:spacing w:val="0"/>
          <w:sz w:val="24"/>
          <w:szCs w:val="24"/>
          <w:highlight w:val="none"/>
          <w:shd w:val="clear" w:fill="FFFFFF"/>
        </w:rPr>
      </w:pPr>
      <w:r>
        <w:rPr>
          <w:rFonts w:hint="eastAsia" w:ascii="微软雅黑" w:hAnsi="微软雅黑" w:eastAsia="微软雅黑" w:cs="微软雅黑"/>
          <w:i w:val="0"/>
          <w:iCs w:val="0"/>
          <w:caps w:val="0"/>
          <w:color w:val="auto"/>
          <w:spacing w:val="0"/>
          <w:sz w:val="24"/>
          <w:szCs w:val="24"/>
          <w:highlight w:val="none"/>
          <w:shd w:val="clear" w:fill="FFFFFF"/>
        </w:rPr>
        <w:t>附件1</w:t>
      </w:r>
    </w:p>
    <w:p w14:paraId="5A2AB87B">
      <w:pPr>
        <w:spacing w:line="480" w:lineRule="exact"/>
        <w:jc w:val="center"/>
        <w:rPr>
          <w:rFonts w:hint="eastAsia" w:ascii="微软雅黑" w:hAnsi="微软雅黑" w:eastAsia="微软雅黑" w:cs="微软雅黑"/>
          <w:b/>
          <w:i w:val="0"/>
          <w:iCs w:val="0"/>
          <w:color w:val="auto"/>
          <w:sz w:val="28"/>
          <w:szCs w:val="28"/>
          <w:highlight w:val="none"/>
          <w:lang w:val="en-US" w:eastAsia="zh-CN"/>
        </w:rPr>
      </w:pPr>
      <w:r>
        <w:rPr>
          <w:rFonts w:hint="eastAsia" w:ascii="微软雅黑" w:hAnsi="微软雅黑" w:eastAsia="微软雅黑" w:cs="微软雅黑"/>
          <w:b/>
          <w:i w:val="0"/>
          <w:iCs w:val="0"/>
          <w:color w:val="auto"/>
          <w:sz w:val="28"/>
          <w:szCs w:val="28"/>
          <w:highlight w:val="none"/>
          <w:lang w:val="en-US" w:eastAsia="zh-CN"/>
        </w:rPr>
        <w:t>项目需求书</w:t>
      </w:r>
    </w:p>
    <w:p w14:paraId="275D203D">
      <w:pPr>
        <w:pStyle w:val="18"/>
        <w:widowControl/>
        <w:numPr>
          <w:ilvl w:val="0"/>
          <w:numId w:val="1"/>
        </w:numPr>
        <w:spacing w:line="360" w:lineRule="auto"/>
        <w:ind w:firstLineChars="0"/>
        <w:jc w:val="left"/>
        <w:rPr>
          <w:rFonts w:hint="eastAsia" w:ascii="微软雅黑" w:hAnsi="微软雅黑" w:eastAsia="微软雅黑" w:cs="微软雅黑"/>
          <w:b/>
          <w:bCs w:val="0"/>
          <w:i w:val="0"/>
          <w:iCs w:val="0"/>
          <w:color w:val="auto"/>
          <w:kern w:val="2"/>
          <w:sz w:val="24"/>
          <w:szCs w:val="24"/>
          <w:highlight w:val="none"/>
          <w:lang w:val="en-US" w:eastAsia="zh-CN" w:bidi="ar-SA"/>
        </w:rPr>
      </w:pPr>
      <w:r>
        <w:rPr>
          <w:rFonts w:hint="eastAsia" w:ascii="微软雅黑" w:hAnsi="微软雅黑" w:eastAsia="微软雅黑" w:cs="微软雅黑"/>
          <w:b/>
          <w:bCs w:val="0"/>
          <w:i w:val="0"/>
          <w:iCs w:val="0"/>
          <w:color w:val="auto"/>
          <w:kern w:val="2"/>
          <w:sz w:val="24"/>
          <w:szCs w:val="24"/>
          <w:highlight w:val="none"/>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项目名称</w:t>
            </w:r>
          </w:p>
        </w:tc>
        <w:tc>
          <w:tcPr>
            <w:tcW w:w="5723" w:type="dxa"/>
          </w:tcPr>
          <w:p w14:paraId="006DFF07">
            <w:pPr>
              <w:spacing w:line="360" w:lineRule="auto"/>
              <w:jc w:val="center"/>
              <w:rPr>
                <w:rFonts w:hint="default" w:ascii="微软雅黑" w:hAnsi="微软雅黑" w:eastAsia="微软雅黑" w:cs="微软雅黑"/>
                <w:i w:val="0"/>
                <w:iCs w:val="0"/>
                <w:color w:val="auto"/>
                <w:sz w:val="24"/>
                <w:szCs w:val="24"/>
                <w:highlight w:val="none"/>
                <w:lang w:val="en-US" w:eastAsia="zh-CN"/>
              </w:rPr>
            </w:pPr>
            <w:permStart w:id="0" w:edGrp="everyone"/>
            <w:r>
              <w:rPr>
                <w:rFonts w:hint="eastAsia" w:ascii="微软雅黑" w:hAnsi="微软雅黑" w:eastAsia="微软雅黑" w:cs="微软雅黑"/>
                <w:i w:val="0"/>
                <w:iCs w:val="0"/>
                <w:color w:val="auto"/>
                <w:sz w:val="24"/>
                <w:szCs w:val="24"/>
                <w:highlight w:val="none"/>
                <w:lang w:val="en-US" w:eastAsia="zh-CN"/>
              </w:rPr>
              <w:t>中山市口腔医院公务用车定点加油项目</w:t>
            </w:r>
            <w:permEnd w:id="0"/>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i w:val="0"/>
                <w:iCs w:val="0"/>
                <w:color w:val="auto"/>
                <w:sz w:val="24"/>
                <w:szCs w:val="24"/>
                <w:highlight w:val="none"/>
                <w:lang w:eastAsia="zh-CN"/>
              </w:rPr>
            </w:pPr>
            <w:r>
              <w:rPr>
                <w:rFonts w:hint="eastAsia" w:ascii="微软雅黑" w:hAnsi="微软雅黑" w:eastAsia="微软雅黑" w:cs="微软雅黑"/>
                <w:i w:val="0"/>
                <w:iCs w:val="0"/>
                <w:color w:val="auto"/>
                <w:sz w:val="24"/>
                <w:szCs w:val="24"/>
                <w:highlight w:val="none"/>
                <w:lang w:eastAsia="zh-CN"/>
              </w:rPr>
              <w:t>采购预算金额</w:t>
            </w:r>
          </w:p>
        </w:tc>
        <w:tc>
          <w:tcPr>
            <w:tcW w:w="5723" w:type="dxa"/>
          </w:tcPr>
          <w:p w14:paraId="4D49B931">
            <w:pPr>
              <w:spacing w:line="360" w:lineRule="auto"/>
              <w:jc w:val="center"/>
              <w:rPr>
                <w:rFonts w:hint="eastAsia" w:ascii="微软雅黑" w:hAnsi="微软雅黑" w:eastAsia="微软雅黑" w:cs="微软雅黑"/>
                <w:i w:val="0"/>
                <w:iCs w:val="0"/>
                <w:color w:val="auto"/>
                <w:sz w:val="24"/>
                <w:szCs w:val="24"/>
                <w:highlight w:val="none"/>
              </w:rPr>
            </w:pPr>
            <w:permStart w:id="1" w:edGrp="everyone"/>
            <w:r>
              <w:rPr>
                <w:rFonts w:hint="eastAsia" w:ascii="微软雅黑" w:hAnsi="微软雅黑" w:eastAsia="微软雅黑" w:cs="微软雅黑"/>
                <w:i w:val="0"/>
                <w:iCs w:val="0"/>
                <w:color w:val="auto"/>
                <w:sz w:val="24"/>
                <w:szCs w:val="24"/>
                <w:highlight w:val="none"/>
                <w:lang w:val="en-US" w:eastAsia="zh-CN"/>
              </w:rPr>
              <w:t xml:space="preserve"> </w:t>
            </w:r>
            <w:r>
              <w:rPr>
                <w:rFonts w:hint="eastAsia" w:ascii="微软雅黑" w:hAnsi="微软雅黑" w:eastAsia="微软雅黑" w:cs="微软雅黑"/>
                <w:i w:val="0"/>
                <w:iCs w:val="0"/>
                <w:color w:val="auto"/>
                <w:sz w:val="24"/>
                <w:szCs w:val="24"/>
                <w:highlight w:val="none"/>
                <w:lang w:val="en-US" w:eastAsia="zh-CN"/>
              </w:rPr>
              <w:t>10000元</w:t>
            </w:r>
            <w:r>
              <w:rPr>
                <w:rFonts w:hint="eastAsia" w:ascii="微软雅黑" w:hAnsi="微软雅黑" w:eastAsia="微软雅黑" w:cs="微软雅黑"/>
                <w:i w:val="0"/>
                <w:iCs w:val="0"/>
                <w:color w:val="auto"/>
                <w:sz w:val="24"/>
                <w:szCs w:val="24"/>
                <w:highlight w:val="none"/>
                <w:lang w:val="en-US" w:eastAsia="zh-CN"/>
              </w:rPr>
              <w:t xml:space="preserve">  </w:t>
            </w:r>
            <w:permEnd w:id="1"/>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i w:val="0"/>
                <w:iCs w:val="0"/>
                <w:color w:val="auto"/>
                <w:sz w:val="24"/>
                <w:szCs w:val="24"/>
                <w:highlight w:val="none"/>
                <w:lang w:eastAsia="zh-CN"/>
              </w:rPr>
            </w:pPr>
            <w:r>
              <w:rPr>
                <w:rFonts w:hint="eastAsia" w:ascii="微软雅黑" w:hAnsi="微软雅黑" w:eastAsia="微软雅黑" w:cs="微软雅黑"/>
                <w:i w:val="0"/>
                <w:iCs w:val="0"/>
                <w:color w:val="auto"/>
                <w:sz w:val="24"/>
                <w:szCs w:val="24"/>
                <w:highlight w:val="none"/>
                <w:lang w:eastAsia="zh-CN"/>
              </w:rPr>
              <w:t>报价最高限价</w:t>
            </w:r>
          </w:p>
        </w:tc>
        <w:tc>
          <w:tcPr>
            <w:tcW w:w="5723" w:type="dxa"/>
          </w:tcPr>
          <w:p w14:paraId="7DC1F74F">
            <w:pPr>
              <w:spacing w:line="360" w:lineRule="auto"/>
              <w:jc w:val="center"/>
              <w:rPr>
                <w:rFonts w:hint="eastAsia" w:ascii="微软雅黑" w:hAnsi="微软雅黑" w:eastAsia="微软雅黑" w:cs="微软雅黑"/>
                <w:i w:val="0"/>
                <w:iCs w:val="0"/>
                <w:color w:val="auto"/>
                <w:sz w:val="24"/>
                <w:szCs w:val="24"/>
                <w:highlight w:val="none"/>
                <w:lang w:val="en-US" w:eastAsia="zh-CN"/>
              </w:rPr>
            </w:pPr>
            <w:permStart w:id="2" w:edGrp="everyone"/>
            <w:r>
              <w:rPr>
                <w:rFonts w:hint="eastAsia" w:ascii="微软雅黑" w:hAnsi="微软雅黑" w:eastAsia="微软雅黑" w:cs="微软雅黑"/>
                <w:i w:val="0"/>
                <w:iCs w:val="0"/>
                <w:color w:val="auto"/>
                <w:sz w:val="24"/>
                <w:szCs w:val="24"/>
                <w:highlight w:val="none"/>
                <w:lang w:val="en-US" w:eastAsia="zh-CN"/>
              </w:rPr>
              <w:t xml:space="preserve"> </w:t>
            </w:r>
            <w:r>
              <w:rPr>
                <w:rFonts w:hint="eastAsia" w:ascii="微软雅黑" w:hAnsi="微软雅黑" w:eastAsia="微软雅黑" w:cs="微软雅黑"/>
                <w:i w:val="0"/>
                <w:iCs w:val="0"/>
                <w:color w:val="auto"/>
                <w:sz w:val="24"/>
                <w:szCs w:val="24"/>
                <w:highlight w:val="none"/>
                <w:lang w:val="en-US" w:eastAsia="zh-CN"/>
              </w:rPr>
              <w:t>10000元</w:t>
            </w:r>
            <w:r>
              <w:rPr>
                <w:rFonts w:hint="eastAsia" w:ascii="微软雅黑" w:hAnsi="微软雅黑" w:eastAsia="微软雅黑" w:cs="微软雅黑"/>
                <w:i w:val="0"/>
                <w:iCs w:val="0"/>
                <w:color w:val="auto"/>
                <w:sz w:val="24"/>
                <w:szCs w:val="24"/>
                <w:highlight w:val="none"/>
                <w:lang w:val="en-US" w:eastAsia="zh-CN"/>
              </w:rPr>
              <w:t xml:space="preserve"> </w:t>
            </w:r>
            <w:permEnd w:id="2"/>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b/>
                <w:bCs/>
                <w:i w:val="0"/>
                <w:iCs w:val="0"/>
                <w:color w:val="auto"/>
                <w:sz w:val="24"/>
                <w:szCs w:val="24"/>
                <w:highlight w:val="none"/>
                <w:lang w:val="en-US" w:eastAsia="zh-CN"/>
              </w:rPr>
              <w:t>供应商报价不得超过“报价最高限价”，否则视为无效报价。</w:t>
            </w:r>
          </w:p>
        </w:tc>
      </w:tr>
    </w:tbl>
    <w:p w14:paraId="2A81CF6C">
      <w:pPr>
        <w:pStyle w:val="18"/>
        <w:widowControl/>
        <w:numPr>
          <w:ilvl w:val="0"/>
          <w:numId w:val="1"/>
        </w:numPr>
        <w:spacing w:line="360" w:lineRule="auto"/>
        <w:ind w:firstLineChars="0"/>
        <w:jc w:val="left"/>
        <w:rPr>
          <w:rFonts w:hint="eastAsia" w:ascii="微软雅黑" w:hAnsi="微软雅黑" w:eastAsia="微软雅黑" w:cs="微软雅黑"/>
          <w:b/>
          <w:bCs w:val="0"/>
          <w:i w:val="0"/>
          <w:iCs w:val="0"/>
          <w:color w:val="auto"/>
          <w:kern w:val="2"/>
          <w:sz w:val="24"/>
          <w:szCs w:val="24"/>
          <w:highlight w:val="none"/>
          <w:lang w:val="en-US" w:eastAsia="zh-CN" w:bidi="ar-SA"/>
        </w:rPr>
      </w:pPr>
      <w:r>
        <w:rPr>
          <w:rFonts w:hint="eastAsia" w:ascii="微软雅黑" w:hAnsi="微软雅黑" w:eastAsia="微软雅黑" w:cs="微软雅黑"/>
          <w:b/>
          <w:bCs w:val="0"/>
          <w:i w:val="0"/>
          <w:iCs w:val="0"/>
          <w:color w:val="auto"/>
          <w:kern w:val="2"/>
          <w:sz w:val="24"/>
          <w:szCs w:val="24"/>
          <w:highlight w:val="none"/>
          <w:lang w:val="en-US" w:eastAsia="zh-CN" w:bidi="ar-SA"/>
        </w:rPr>
        <w:t>采购需求</w:t>
      </w:r>
    </w:p>
    <w:p w14:paraId="63962CBA">
      <w:pPr>
        <w:numPr>
          <w:ilvl w:val="0"/>
          <w:numId w:val="2"/>
        </w:numPr>
        <w:spacing w:line="360" w:lineRule="auto"/>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rPr>
        <w:t>采购项目需实现的功能和目标：</w:t>
      </w:r>
      <w:permStart w:id="3" w:edGrp="everyone"/>
      <w:r>
        <w:rPr>
          <w:rFonts w:hint="eastAsia" w:ascii="微软雅黑" w:hAnsi="微软雅黑" w:eastAsia="微软雅黑" w:cs="微软雅黑"/>
          <w:i w:val="0"/>
          <w:iCs w:val="0"/>
          <w:color w:val="auto"/>
          <w:sz w:val="24"/>
          <w:szCs w:val="24"/>
          <w:highlight w:val="none"/>
          <w:lang w:val="en-US" w:eastAsia="zh-CN"/>
        </w:rPr>
        <w:t>公</w:t>
      </w:r>
      <w:bookmarkStart w:id="0" w:name="_GoBack"/>
      <w:bookmarkEnd w:id="0"/>
      <w:r>
        <w:rPr>
          <w:rFonts w:hint="eastAsia" w:ascii="微软雅黑" w:hAnsi="微软雅黑" w:eastAsia="微软雅黑" w:cs="微软雅黑"/>
          <w:i w:val="0"/>
          <w:iCs w:val="0"/>
          <w:color w:val="auto"/>
          <w:sz w:val="24"/>
          <w:szCs w:val="24"/>
          <w:highlight w:val="none"/>
          <w:lang w:val="en-US" w:eastAsia="zh-CN"/>
        </w:rPr>
        <w:t>务用车加油、添加燃料服务</w:t>
      </w:r>
    </w:p>
    <w:permEnd w:id="3"/>
    <w:p w14:paraId="6157149C">
      <w:pPr>
        <w:spacing w:line="360" w:lineRule="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w:t>
      </w:r>
      <w:r>
        <w:rPr>
          <w:rFonts w:hint="eastAsia" w:ascii="微软雅黑" w:hAnsi="微软雅黑" w:eastAsia="微软雅黑" w:cs="微软雅黑"/>
          <w:i w:val="0"/>
          <w:iCs w:val="0"/>
          <w:color w:val="auto"/>
          <w:sz w:val="24"/>
          <w:szCs w:val="24"/>
          <w:highlight w:val="none"/>
          <w:lang w:eastAsia="zh-CN"/>
        </w:rPr>
        <w:t>二</w:t>
      </w:r>
      <w:r>
        <w:rPr>
          <w:rFonts w:hint="eastAsia" w:ascii="微软雅黑" w:hAnsi="微软雅黑" w:eastAsia="微软雅黑" w:cs="微软雅黑"/>
          <w:i w:val="0"/>
          <w:iCs w:val="0"/>
          <w:color w:val="auto"/>
          <w:sz w:val="24"/>
          <w:szCs w:val="24"/>
          <w:highlight w:val="none"/>
        </w:rPr>
        <w:t>）采购标的汇总表</w:t>
      </w:r>
    </w:p>
    <w:tbl>
      <w:tblPr>
        <w:tblStyle w:val="12"/>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916"/>
        <w:gridCol w:w="1684"/>
        <w:gridCol w:w="1408"/>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rPr>
              <w:t>序号</w:t>
            </w:r>
          </w:p>
        </w:tc>
        <w:tc>
          <w:tcPr>
            <w:tcW w:w="491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lang w:eastAsia="zh-CN"/>
              </w:rPr>
              <w:t>标的</w:t>
            </w:r>
            <w:r>
              <w:rPr>
                <w:rFonts w:hint="eastAsia" w:ascii="微软雅黑" w:hAnsi="微软雅黑" w:eastAsia="微软雅黑" w:cs="微软雅黑"/>
                <w:i w:val="0"/>
                <w:iCs w:val="0"/>
                <w:color w:val="auto"/>
                <w:kern w:val="0"/>
                <w:sz w:val="24"/>
                <w:szCs w:val="24"/>
                <w:highlight w:val="none"/>
              </w:rPr>
              <w:t>名称</w:t>
            </w:r>
          </w:p>
        </w:tc>
        <w:tc>
          <w:tcPr>
            <w:tcW w:w="1684"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rPr>
              <w:t>计量单位</w:t>
            </w:r>
          </w:p>
        </w:tc>
        <w:tc>
          <w:tcPr>
            <w:tcW w:w="1408"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lang w:val="en-US" w:eastAsia="zh-CN"/>
              </w:rPr>
            </w:pPr>
            <w:permStart w:id="4" w:edGrp="everyone" w:colFirst="0" w:colLast="0"/>
            <w:permStart w:id="5" w:edGrp="everyone" w:colFirst="1" w:colLast="1"/>
            <w:permStart w:id="6" w:edGrp="everyone" w:colFirst="2" w:colLast="2"/>
            <w:permStart w:id="7" w:edGrp="everyone" w:colFirst="3" w:colLast="3"/>
            <w:r>
              <w:rPr>
                <w:rFonts w:hint="eastAsia" w:ascii="微软雅黑" w:hAnsi="微软雅黑" w:eastAsia="微软雅黑" w:cs="微软雅黑"/>
                <w:i w:val="0"/>
                <w:iCs w:val="0"/>
                <w:color w:val="auto"/>
                <w:kern w:val="0"/>
                <w:sz w:val="24"/>
                <w:szCs w:val="24"/>
                <w:highlight w:val="none"/>
                <w:lang w:val="en-US" w:eastAsia="zh-CN"/>
              </w:rPr>
              <w:t>1</w:t>
            </w:r>
          </w:p>
        </w:tc>
        <w:tc>
          <w:tcPr>
            <w:tcW w:w="4916"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sz w:val="24"/>
                <w:szCs w:val="24"/>
                <w:highlight w:val="none"/>
                <w:lang w:val="en-US" w:eastAsia="zh-CN"/>
              </w:rPr>
              <w:t>中山市口腔医院公务用车定点加油项目</w:t>
            </w:r>
          </w:p>
        </w:tc>
        <w:tc>
          <w:tcPr>
            <w:tcW w:w="1684"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i w:val="0"/>
                <w:iCs w:val="0"/>
                <w:color w:val="auto"/>
                <w:kern w:val="0"/>
                <w:sz w:val="24"/>
                <w:szCs w:val="24"/>
                <w:highlight w:val="none"/>
                <w:lang w:val="en-US"/>
              </w:rPr>
            </w:pPr>
            <w:r>
              <w:rPr>
                <w:rFonts w:hint="eastAsia" w:ascii="微软雅黑" w:hAnsi="微软雅黑" w:eastAsia="微软雅黑" w:cs="微软雅黑"/>
                <w:i w:val="0"/>
                <w:iCs w:val="0"/>
                <w:color w:val="auto"/>
                <w:sz w:val="24"/>
                <w:szCs w:val="24"/>
                <w:highlight w:val="none"/>
                <w:lang w:val="en-US" w:eastAsia="zh-CN"/>
              </w:rPr>
              <w:t>项</w:t>
            </w:r>
          </w:p>
        </w:tc>
        <w:tc>
          <w:tcPr>
            <w:tcW w:w="1408"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sz w:val="24"/>
                <w:szCs w:val="24"/>
                <w:highlight w:val="none"/>
                <w:lang w:val="en-US" w:eastAsia="zh-CN"/>
              </w:rPr>
              <w:t>1</w:t>
            </w:r>
          </w:p>
        </w:tc>
      </w:tr>
      <w:permEnd w:id="4"/>
      <w:permEnd w:id="5"/>
      <w:permEnd w:id="6"/>
      <w:permEnd w:id="7"/>
      <w:tr w14:paraId="28D8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58" w:type="dxa"/>
            <w:gridSpan w:val="4"/>
            <w:shd w:val="clear" w:color="auto" w:fill="FFFFFF"/>
            <w:tcMar>
              <w:top w:w="0" w:type="dxa"/>
              <w:right w:w="0" w:type="dxa"/>
            </w:tcMar>
            <w:vAlign w:val="center"/>
          </w:tcPr>
          <w:p w14:paraId="57B5D88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微软雅黑" w:hAnsi="微软雅黑" w:eastAsia="微软雅黑" w:cs="微软雅黑"/>
                <w:i w:val="0"/>
                <w:iCs w:val="0"/>
                <w:color w:val="auto"/>
                <w:kern w:val="0"/>
                <w:sz w:val="24"/>
                <w:szCs w:val="24"/>
                <w:highlight w:val="none"/>
              </w:rPr>
            </w:pPr>
            <w:r>
              <w:rPr>
                <w:rFonts w:hint="eastAsia" w:ascii="微软雅黑" w:hAnsi="微软雅黑" w:eastAsia="微软雅黑" w:cs="微软雅黑"/>
                <w:i w:val="0"/>
                <w:iCs w:val="0"/>
                <w:color w:val="auto"/>
                <w:kern w:val="0"/>
                <w:sz w:val="24"/>
                <w:szCs w:val="24"/>
                <w:highlight w:val="none"/>
                <w:lang w:val="en-US" w:eastAsia="zh-CN"/>
              </w:rPr>
              <w:t>报价要求：报价包括</w:t>
            </w:r>
            <w:permStart w:id="8" w:edGrp="everyone"/>
            <w:r>
              <w:rPr>
                <w:rFonts w:hint="eastAsia" w:ascii="微软雅黑" w:hAnsi="微软雅黑" w:eastAsia="微软雅黑" w:cs="微软雅黑"/>
                <w:i w:val="0"/>
                <w:iCs w:val="0"/>
                <w:color w:val="auto"/>
                <w:kern w:val="0"/>
                <w:sz w:val="24"/>
                <w:szCs w:val="24"/>
                <w:highlight w:val="none"/>
                <w:lang w:val="en-US" w:eastAsia="zh-CN"/>
              </w:rPr>
              <w:t xml:space="preserve"> </w:t>
            </w:r>
            <w:r>
              <w:rPr>
                <w:rFonts w:hint="eastAsia" w:ascii="微软雅黑" w:hAnsi="微软雅黑" w:eastAsia="微软雅黑" w:cs="微软雅黑"/>
                <w:i w:val="0"/>
                <w:iCs w:val="0"/>
                <w:color w:val="auto"/>
                <w:sz w:val="24"/>
                <w:szCs w:val="24"/>
                <w:highlight w:val="none"/>
                <w:lang w:val="en-US" w:eastAsia="zh-CN"/>
              </w:rPr>
              <w:t>（油费、运输费、保险费、人员费用、仪器设备费等）</w:t>
            </w:r>
            <w:r>
              <w:rPr>
                <w:rFonts w:hint="eastAsia" w:ascii="微软雅黑" w:hAnsi="微软雅黑" w:eastAsia="微软雅黑" w:cs="微软雅黑"/>
                <w:i w:val="0"/>
                <w:iCs w:val="0"/>
                <w:color w:val="auto"/>
                <w:kern w:val="0"/>
                <w:sz w:val="24"/>
                <w:szCs w:val="24"/>
                <w:highlight w:val="none"/>
                <w:lang w:val="en-US" w:eastAsia="zh-CN"/>
              </w:rPr>
              <w:t xml:space="preserve"> </w:t>
            </w:r>
            <w:permEnd w:id="8"/>
            <w:r>
              <w:rPr>
                <w:rFonts w:hint="eastAsia" w:ascii="微软雅黑" w:hAnsi="微软雅黑" w:eastAsia="微软雅黑" w:cs="微软雅黑"/>
                <w:i w:val="0"/>
                <w:iCs w:val="0"/>
                <w:color w:val="auto"/>
                <w:kern w:val="0"/>
                <w:sz w:val="24"/>
                <w:szCs w:val="24"/>
                <w:highlight w:val="none"/>
                <w:lang w:val="en-US" w:eastAsia="zh-CN"/>
              </w:rPr>
              <w:t>、应向中华人民共和国政府缴纳的增值税和其它税等全部税费、以及履行合同所需的费用、所有风险、责任等其他一切隐含及不可预见的费用</w:t>
            </w:r>
            <w:permStart w:id="9" w:edGrp="everyone"/>
            <w:r>
              <w:rPr>
                <w:rFonts w:hint="eastAsia" w:ascii="微软雅黑" w:hAnsi="微软雅黑" w:eastAsia="微软雅黑" w:cs="微软雅黑"/>
                <w:i w:val="0"/>
                <w:iCs w:val="0"/>
                <w:color w:val="auto"/>
                <w:kern w:val="0"/>
                <w:sz w:val="24"/>
                <w:szCs w:val="24"/>
                <w:highlight w:val="none"/>
                <w:lang w:val="en-US" w:eastAsia="zh-CN"/>
              </w:rPr>
              <w:t>。</w:t>
            </w:r>
          </w:p>
        </w:tc>
      </w:tr>
      <w:permEnd w:id="9"/>
    </w:tbl>
    <w:p w14:paraId="6D966B24">
      <w:pPr>
        <w:spacing w:line="360" w:lineRule="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eastAsia="zh-CN"/>
        </w:rPr>
        <w:t>（三</w:t>
      </w:r>
      <w:r>
        <w:rPr>
          <w:rFonts w:hint="eastAsia" w:ascii="微软雅黑" w:hAnsi="微软雅黑" w:eastAsia="微软雅黑" w:cs="微软雅黑"/>
          <w:i w:val="0"/>
          <w:iCs w:val="0"/>
          <w:color w:val="auto"/>
          <w:sz w:val="24"/>
          <w:szCs w:val="24"/>
          <w:highlight w:val="none"/>
        </w:rPr>
        <w:t>）技术要求与商务要求</w:t>
      </w:r>
    </w:p>
    <w:tbl>
      <w:tblPr>
        <w:tblStyle w:val="12"/>
        <w:tblW w:w="5200"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7"/>
      </w:tblGrid>
      <w:tr w14:paraId="248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C6863DF">
            <w:pPr>
              <w:adjustRightInd w:val="0"/>
              <w:snapToGrid w:val="0"/>
              <w:ind w:right="120" w:rightChars="50"/>
              <w:jc w:val="left"/>
              <w:rPr>
                <w:rFonts w:hint="eastAsia" w:ascii="微软雅黑" w:hAnsi="微软雅黑" w:eastAsia="微软雅黑" w:cs="微软雅黑"/>
                <w:b/>
                <w:i w:val="0"/>
                <w:iCs w:val="0"/>
                <w:color w:val="auto"/>
                <w:sz w:val="24"/>
                <w:szCs w:val="24"/>
                <w:highlight w:val="none"/>
              </w:rPr>
            </w:pPr>
            <w:r>
              <w:rPr>
                <w:rFonts w:hint="eastAsia" w:ascii="微软雅黑" w:hAnsi="微软雅黑" w:eastAsia="微软雅黑" w:cs="微软雅黑"/>
                <w:b/>
                <w:i w:val="0"/>
                <w:iCs w:val="0"/>
                <w:color w:val="auto"/>
                <w:sz w:val="24"/>
                <w:szCs w:val="24"/>
                <w:highlight w:val="none"/>
              </w:rPr>
              <w:t>一、项目概况及服务内容</w:t>
            </w:r>
          </w:p>
          <w:p w14:paraId="218824DC">
            <w:pPr>
              <w:rPr>
                <w:rFonts w:hint="eastAsia" w:eastAsia="宋体"/>
                <w:i w:val="0"/>
                <w:iCs w:val="0"/>
                <w:color w:val="auto"/>
                <w:highlight w:val="none"/>
                <w:lang w:val="en-US" w:eastAsia="zh-CN"/>
              </w:rPr>
            </w:pPr>
            <w:r>
              <w:rPr>
                <w:rFonts w:hint="eastAsia" w:eastAsia="宋体"/>
                <w:i w:val="0"/>
                <w:iCs w:val="0"/>
                <w:color w:val="auto"/>
                <w:highlight w:val="none"/>
                <w:lang w:val="en-US" w:eastAsia="zh-CN"/>
              </w:rPr>
              <w:t>1、项目名称：中山市口腔医院公务用车定点加油项目</w:t>
            </w:r>
          </w:p>
          <w:p w14:paraId="58C7391A">
            <w:pPr>
              <w:rPr>
                <w:rFonts w:hint="eastAsia" w:eastAsia="宋体"/>
                <w:i w:val="0"/>
                <w:iCs w:val="0"/>
                <w:color w:val="auto"/>
                <w:highlight w:val="none"/>
                <w:lang w:val="en-US" w:eastAsia="zh-CN"/>
              </w:rPr>
            </w:pPr>
            <w:r>
              <w:rPr>
                <w:rFonts w:hint="eastAsia" w:eastAsia="宋体"/>
                <w:i w:val="0"/>
                <w:iCs w:val="0"/>
                <w:color w:val="auto"/>
                <w:highlight w:val="none"/>
                <w:lang w:val="en-US" w:eastAsia="zh-CN"/>
              </w:rPr>
              <w:t>2、预算金额：10000元</w:t>
            </w:r>
          </w:p>
          <w:p w14:paraId="789D8483">
            <w:pPr>
              <w:rPr>
                <w:rFonts w:hint="eastAsia" w:eastAsia="宋体"/>
                <w:i w:val="0"/>
                <w:iCs w:val="0"/>
                <w:color w:val="auto"/>
                <w:highlight w:val="none"/>
                <w:lang w:val="en-US" w:eastAsia="zh-CN"/>
              </w:rPr>
            </w:pPr>
            <w:r>
              <w:rPr>
                <w:rFonts w:hint="eastAsia"/>
                <w:i w:val="0"/>
                <w:iCs w:val="0"/>
                <w:color w:val="auto"/>
                <w:highlight w:val="none"/>
                <w:lang w:val="en-US" w:eastAsia="zh-CN"/>
              </w:rPr>
              <w:t>3、报价方式：</w:t>
            </w:r>
            <w:r>
              <w:rPr>
                <w:rFonts w:hint="eastAsia" w:eastAsia="宋体"/>
                <w:i w:val="0"/>
                <w:iCs w:val="0"/>
                <w:color w:val="auto"/>
                <w:highlight w:val="none"/>
                <w:lang w:val="en-US" w:eastAsia="zh-CN"/>
              </w:rPr>
              <w:t>本项目采用折扣率报价，折扣率单位为“%”。该折扣率即为本项目的价格分计算基础，报价（折扣率）须准确到小数点后两位数，四舍五入。供应商报价（折扣率）填报范围为0~100%，且必须为固定值（例如85.50%），不接受区间值（例如80.00%-85.50%）。供应商所报的折扣率即成为本项目的合同折扣率。服务期内，任何情况下均不改变成交的折扣率。</w:t>
            </w:r>
          </w:p>
          <w:p w14:paraId="4357A02E">
            <w:pPr>
              <w:rPr>
                <w:rFonts w:hint="default" w:eastAsia="宋体"/>
                <w:i w:val="0"/>
                <w:iCs w:val="0"/>
                <w:color w:val="auto"/>
                <w:highlight w:val="none"/>
                <w:lang w:val="en-US" w:eastAsia="zh-CN"/>
              </w:rPr>
            </w:pPr>
            <w:r>
              <w:rPr>
                <w:rFonts w:hint="eastAsia"/>
                <w:i w:val="0"/>
                <w:iCs w:val="0"/>
                <w:color w:val="auto"/>
                <w:highlight w:val="none"/>
                <w:lang w:val="en-US" w:eastAsia="zh-CN"/>
              </w:rPr>
              <w:t>4</w:t>
            </w:r>
            <w:r>
              <w:rPr>
                <w:rFonts w:hint="eastAsia" w:eastAsia="宋体"/>
                <w:i w:val="0"/>
                <w:iCs w:val="0"/>
                <w:color w:val="auto"/>
                <w:highlight w:val="none"/>
                <w:lang w:val="en-US" w:eastAsia="zh-CN"/>
              </w:rPr>
              <w:t>、服务内容：采购人医院有一辆公务用车，本项目主要为该车辆提供加油、添加燃料服务。</w:t>
            </w:r>
          </w:p>
          <w:p w14:paraId="7A522ADE">
            <w:pPr>
              <w:rPr>
                <w:rFonts w:hint="eastAsia" w:ascii="微软雅黑" w:hAnsi="微软雅黑" w:eastAsia="微软雅黑" w:cs="微软雅黑"/>
                <w:i w:val="0"/>
                <w:iCs w:val="0"/>
                <w:color w:val="auto"/>
                <w:sz w:val="24"/>
                <w:szCs w:val="24"/>
                <w:highlight w:val="none"/>
                <w:lang w:val="en-US" w:eastAsia="zh-CN"/>
              </w:rPr>
            </w:pPr>
            <w:r>
              <w:rPr>
                <w:rFonts w:hint="eastAsia"/>
                <w:i w:val="0"/>
                <w:iCs w:val="0"/>
                <w:color w:val="auto"/>
                <w:highlight w:val="none"/>
                <w:lang w:val="en-US" w:eastAsia="zh-CN"/>
              </w:rPr>
              <w:t>5</w:t>
            </w:r>
            <w:r>
              <w:rPr>
                <w:rFonts w:hint="eastAsia" w:eastAsia="宋体"/>
                <w:i w:val="0"/>
                <w:iCs w:val="0"/>
                <w:color w:val="auto"/>
                <w:highlight w:val="none"/>
                <w:lang w:val="en-US" w:eastAsia="zh-CN"/>
              </w:rPr>
              <w:t>、服务期限：自合同签订之日起至2026年12月31日，或项目金额达到预算金额10000元，以先到达者为准。</w:t>
            </w:r>
          </w:p>
        </w:tc>
      </w:tr>
      <w:tr w14:paraId="7DD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8445BD2">
            <w:pPr>
              <w:numPr>
                <w:ilvl w:val="0"/>
                <w:numId w:val="0"/>
              </w:numPr>
              <w:adjustRightInd w:val="0"/>
              <w:snapToGrid w:val="0"/>
              <w:ind w:right="120" w:rightChars="50"/>
              <w:jc w:val="left"/>
              <w:rPr>
                <w:rFonts w:hint="eastAsia"/>
                <w:i w:val="0"/>
                <w:iCs w:val="0"/>
                <w:color w:val="auto"/>
                <w:highlight w:val="none"/>
                <w:lang w:val="en-US" w:eastAsia="zh-CN"/>
              </w:rPr>
            </w:pPr>
            <w:r>
              <w:rPr>
                <w:rFonts w:hint="eastAsia" w:ascii="微软雅黑" w:hAnsi="微软雅黑" w:eastAsia="微软雅黑" w:cs="微软雅黑"/>
                <w:b/>
                <w:bCs/>
                <w:i w:val="0"/>
                <w:iCs w:val="0"/>
                <w:color w:val="auto"/>
                <w:sz w:val="24"/>
                <w:szCs w:val="24"/>
                <w:highlight w:val="none"/>
                <w:lang w:val="en-US" w:eastAsia="zh-CN"/>
              </w:rPr>
              <w:t>二、</w:t>
            </w:r>
            <w:r>
              <w:rPr>
                <w:rFonts w:hint="eastAsia" w:ascii="微软雅黑" w:hAnsi="微软雅黑" w:eastAsia="微软雅黑" w:cs="微软雅黑"/>
                <w:b/>
                <w:bCs/>
                <w:i w:val="0"/>
                <w:iCs w:val="0"/>
                <w:color w:val="auto"/>
                <w:sz w:val="24"/>
                <w:szCs w:val="24"/>
                <w:highlight w:val="none"/>
              </w:rPr>
              <w:t>服务方案要求</w:t>
            </w:r>
          </w:p>
          <w:p w14:paraId="32DDCD5B">
            <w:pPr>
              <w:rPr>
                <w:rFonts w:hint="eastAsia"/>
                <w:i w:val="0"/>
                <w:iCs w:val="0"/>
                <w:color w:val="auto"/>
                <w:highlight w:val="none"/>
                <w:lang w:val="en-US" w:eastAsia="zh-CN"/>
              </w:rPr>
            </w:pPr>
            <w:r>
              <w:rPr>
                <w:rFonts w:hint="eastAsia"/>
                <w:i w:val="0"/>
                <w:iCs w:val="0"/>
                <w:color w:val="auto"/>
                <w:highlight w:val="none"/>
                <w:lang w:val="en-US" w:eastAsia="zh-CN"/>
              </w:rPr>
              <w:t>1、服务要求</w:t>
            </w:r>
          </w:p>
          <w:p w14:paraId="649DDDB8">
            <w:pPr>
              <w:rPr>
                <w:rFonts w:hint="eastAsia"/>
                <w:i w:val="0"/>
                <w:iCs w:val="0"/>
                <w:color w:val="auto"/>
                <w:highlight w:val="none"/>
                <w:lang w:val="en-US" w:eastAsia="zh-CN"/>
              </w:rPr>
            </w:pPr>
            <w:r>
              <w:rPr>
                <w:rFonts w:hint="eastAsia"/>
                <w:i w:val="0"/>
                <w:iCs w:val="0"/>
                <w:color w:val="auto"/>
                <w:highlight w:val="none"/>
                <w:lang w:val="en-US" w:eastAsia="zh-CN"/>
              </w:rPr>
              <w:t>（1）供应商的加油站点必须是自有或合作的合法固定加油站。不论何种情况，7×24小时内采购人的公务用车进入加油站，成交供应商均需提供良好的加油服务。成交供应商需保障上述车辆加油时场地畅通，做到加油及时。</w:t>
            </w:r>
          </w:p>
          <w:p w14:paraId="393A286C">
            <w:pPr>
              <w:rPr>
                <w:rFonts w:hint="eastAsia"/>
                <w:i w:val="0"/>
                <w:iCs w:val="0"/>
                <w:color w:val="auto"/>
                <w:highlight w:val="none"/>
                <w:lang w:val="en-US" w:eastAsia="zh-CN"/>
              </w:rPr>
            </w:pPr>
            <w:r>
              <w:rPr>
                <w:rFonts w:hint="eastAsia"/>
                <w:i w:val="0"/>
                <w:iCs w:val="0"/>
                <w:color w:val="auto"/>
                <w:highlight w:val="none"/>
                <w:lang w:val="en-US" w:eastAsia="zh-CN"/>
              </w:rPr>
              <w:t>（2）供应商应在中山市具备多个加油站点，能够满足采购人公务出行需要。（供应商响应时须提供下属加油站点名单和地理位置作为评审依据）。</w:t>
            </w:r>
          </w:p>
          <w:p w14:paraId="354A207A">
            <w:pPr>
              <w:rPr>
                <w:rFonts w:hint="eastAsia"/>
                <w:i w:val="0"/>
                <w:iCs w:val="0"/>
                <w:color w:val="auto"/>
                <w:highlight w:val="none"/>
                <w:lang w:val="en-US" w:eastAsia="zh-CN"/>
              </w:rPr>
            </w:pPr>
            <w:r>
              <w:rPr>
                <w:rFonts w:hint="eastAsia"/>
                <w:i w:val="0"/>
                <w:iCs w:val="0"/>
                <w:color w:val="auto"/>
                <w:highlight w:val="none"/>
                <w:lang w:val="en-US" w:eastAsia="zh-CN"/>
              </w:rPr>
              <w:t>（3）供应商应在广东省的高速公路服务区内具备加油站点，能够满足采购人公务出行需要。</w:t>
            </w:r>
          </w:p>
          <w:p w14:paraId="70B627B5">
            <w:pPr>
              <w:rPr>
                <w:rFonts w:hint="eastAsia"/>
                <w:i w:val="0"/>
                <w:iCs w:val="0"/>
                <w:color w:val="auto"/>
                <w:highlight w:val="none"/>
                <w:lang w:val="en-US" w:eastAsia="zh-CN"/>
              </w:rPr>
            </w:pPr>
            <w:r>
              <w:rPr>
                <w:rFonts w:hint="eastAsia"/>
                <w:i w:val="0"/>
                <w:iCs w:val="0"/>
                <w:color w:val="auto"/>
                <w:highlight w:val="none"/>
                <w:lang w:val="en-US" w:eastAsia="zh-CN"/>
              </w:rPr>
              <w:t>（4）供应商应在中山市区范围内具备两个应急备用加油点（非普通加油站，应为供应商自有油库）。若常规加油点在特殊情况（包括但不限于设备故障、油品不足、恶劣天气等原因）无法满足采购人加油需求时，供应商可联系采购人前往应急备用加油点加油。</w:t>
            </w:r>
          </w:p>
          <w:p w14:paraId="1CE4DDE5">
            <w:pPr>
              <w:rPr>
                <w:rFonts w:hint="eastAsia"/>
                <w:i w:val="0"/>
                <w:iCs w:val="0"/>
                <w:color w:val="auto"/>
                <w:highlight w:val="none"/>
                <w:lang w:val="en-US" w:eastAsia="zh-CN"/>
              </w:rPr>
            </w:pPr>
            <w:r>
              <w:rPr>
                <w:rFonts w:hint="eastAsia"/>
                <w:i w:val="0"/>
                <w:iCs w:val="0"/>
                <w:color w:val="auto"/>
                <w:highlight w:val="none"/>
                <w:lang w:val="en-US" w:eastAsia="zh-CN"/>
              </w:rPr>
              <w:t>（5）供应商应保障7×24小时的油品供应数量均能满足采购人需求，，特别是油品紧缺时也要力争保证采购人每天的正常需要（在同等条件下优先提供加油服务，确保环卫生产作业)。结算金额以成交后实际供货的数量为准，在合同期内采购人实际采购的结算金额少于预算金额的，不视为采购人违约。</w:t>
            </w:r>
          </w:p>
          <w:p w14:paraId="4FE6C3AD">
            <w:pPr>
              <w:rPr>
                <w:rFonts w:hint="eastAsia"/>
                <w:i w:val="0"/>
                <w:iCs w:val="0"/>
                <w:color w:val="auto"/>
                <w:highlight w:val="none"/>
                <w:lang w:val="en-US" w:eastAsia="zh-CN"/>
              </w:rPr>
            </w:pPr>
            <w:r>
              <w:rPr>
                <w:rFonts w:hint="eastAsia"/>
                <w:i w:val="0"/>
                <w:iCs w:val="0"/>
                <w:color w:val="auto"/>
                <w:highlight w:val="none"/>
                <w:lang w:val="en-US" w:eastAsia="zh-CN"/>
              </w:rPr>
              <w:t>（6）所有加油操作人员能文明用语，礼貌对待车辆驾驶员。不因用户车辆的多少而采取不同的态度。</w:t>
            </w:r>
          </w:p>
          <w:p w14:paraId="2E36F44F">
            <w:pPr>
              <w:rPr>
                <w:rFonts w:hint="eastAsia"/>
                <w:i w:val="0"/>
                <w:iCs w:val="0"/>
                <w:color w:val="auto"/>
                <w:highlight w:val="none"/>
                <w:lang w:val="en-US" w:eastAsia="zh-CN"/>
              </w:rPr>
            </w:pPr>
            <w:r>
              <w:rPr>
                <w:rFonts w:hint="eastAsia"/>
                <w:i w:val="0"/>
                <w:iCs w:val="0"/>
                <w:color w:val="auto"/>
                <w:highlight w:val="none"/>
                <w:lang w:val="en-US" w:eastAsia="zh-CN"/>
              </w:rPr>
              <w:t>（7）成交供应商不得将成交业务转让给他人或者单位，如发生转包或分包，采购人有权终止合同并承担相应法律责任。</w:t>
            </w:r>
          </w:p>
          <w:p w14:paraId="0E5149DB">
            <w:pPr>
              <w:rPr>
                <w:rFonts w:hint="eastAsia"/>
                <w:i w:val="0"/>
                <w:iCs w:val="0"/>
                <w:color w:val="auto"/>
                <w:highlight w:val="none"/>
                <w:lang w:val="en-US" w:eastAsia="zh-CN"/>
              </w:rPr>
            </w:pPr>
            <w:r>
              <w:rPr>
                <w:rFonts w:hint="eastAsia"/>
                <w:i w:val="0"/>
                <w:iCs w:val="0"/>
                <w:color w:val="auto"/>
                <w:highlight w:val="none"/>
                <w:lang w:val="en-US" w:eastAsia="zh-CN"/>
              </w:rPr>
              <w:t>（8）成交供应商根据采购人提供的车辆资料及车牌号码进行系统登记并办理登记卡，实行一车一档案卡。采购人根据实际需求将登记卡档案限制油品、限车牌确认。加油服务前经油站工作人员确认、车牌号码相对应后再进行加油，驾驶员和油站工作人员双方确认无误后在《加油登记表》上签名核实，并配合采购人做好车辆加油监督管理。《加油登记表》上须列明油品的名称、加油数量、</w:t>
            </w:r>
            <w:r>
              <w:rPr>
                <w:i w:val="0"/>
                <w:iCs w:val="0"/>
                <w:color w:val="auto"/>
                <w:highlight w:val="none"/>
              </w:rPr>
              <w:t>当日国家发改委公布的成品油零售挂牌价当日国家发改委公布的成品油零售挂牌价</w:t>
            </w:r>
            <w:r>
              <w:rPr>
                <w:rFonts w:hint="eastAsia"/>
                <w:i w:val="0"/>
                <w:iCs w:val="0"/>
                <w:color w:val="auto"/>
                <w:highlight w:val="none"/>
                <w:lang w:val="en-US" w:eastAsia="zh-CN"/>
              </w:rPr>
              <w:t>、优惠后实价、单位名称、车牌号码、加油时间等基本情况。</w:t>
            </w:r>
          </w:p>
          <w:p w14:paraId="727D07FD">
            <w:pPr>
              <w:rPr>
                <w:rFonts w:hint="eastAsia"/>
                <w:i w:val="0"/>
                <w:iCs w:val="0"/>
                <w:color w:val="auto"/>
                <w:highlight w:val="none"/>
                <w:lang w:val="en-US" w:eastAsia="zh-CN"/>
              </w:rPr>
            </w:pPr>
            <w:r>
              <w:rPr>
                <w:rFonts w:hint="eastAsia"/>
                <w:i w:val="0"/>
                <w:iCs w:val="0"/>
                <w:color w:val="auto"/>
                <w:highlight w:val="none"/>
                <w:lang w:val="en-US" w:eastAsia="zh-CN"/>
              </w:rPr>
              <w:t>2、管理要求</w:t>
            </w:r>
          </w:p>
          <w:p w14:paraId="1CCE6FBD">
            <w:pPr>
              <w:rPr>
                <w:rFonts w:hint="eastAsia"/>
                <w:i w:val="0"/>
                <w:iCs w:val="0"/>
                <w:color w:val="auto"/>
                <w:highlight w:val="none"/>
                <w:lang w:val="en-US" w:eastAsia="zh-CN"/>
              </w:rPr>
            </w:pPr>
            <w:r>
              <w:rPr>
                <w:rFonts w:hint="eastAsia"/>
                <w:i w:val="0"/>
                <w:iCs w:val="0"/>
                <w:color w:val="auto"/>
                <w:highlight w:val="none"/>
                <w:lang w:val="en-US" w:eastAsia="zh-CN"/>
              </w:rPr>
              <w:t>（1）供应商应具备完善的加油的管理制度，包括但不限于：开卡流程、加油流程、对账流程、加油卡挂失流程、加油卡使用监督流程、应急保障流程等。当采购人出现加油卡丢失或损坏时，成交供应商负责无条件更换新的加油卡，并将丢失或损坏的加油卡剩余金额转入更换后的新卡。合同后期加油卡数量有新增需求的，成交供应商需无条件满足。</w:t>
            </w:r>
          </w:p>
          <w:p w14:paraId="14A298F8">
            <w:pPr>
              <w:rPr>
                <w:rFonts w:hint="eastAsia"/>
                <w:i w:val="0"/>
                <w:iCs w:val="0"/>
                <w:color w:val="auto"/>
                <w:highlight w:val="none"/>
                <w:lang w:val="en-US" w:eastAsia="zh-CN"/>
              </w:rPr>
            </w:pPr>
            <w:r>
              <w:rPr>
                <w:rFonts w:hint="eastAsia"/>
                <w:i w:val="0"/>
                <w:iCs w:val="0"/>
                <w:color w:val="auto"/>
                <w:highlight w:val="none"/>
                <w:lang w:val="en-US" w:eastAsia="zh-CN"/>
              </w:rPr>
              <w:t>（2）每个加油站点需为采购人提供专门的加油通道，避免站点内出现排队加油高峰，保证采购人车辆用油以及调度上能保持灵活机动。</w:t>
            </w:r>
          </w:p>
          <w:p w14:paraId="7510DDA0">
            <w:pPr>
              <w:rPr>
                <w:rFonts w:hint="eastAsia"/>
                <w:i w:val="0"/>
                <w:iCs w:val="0"/>
                <w:color w:val="auto"/>
                <w:highlight w:val="none"/>
                <w:lang w:val="en-US" w:eastAsia="zh-CN"/>
              </w:rPr>
            </w:pPr>
            <w:r>
              <w:rPr>
                <w:rFonts w:hint="eastAsia"/>
                <w:i w:val="0"/>
                <w:iCs w:val="0"/>
                <w:color w:val="auto"/>
                <w:highlight w:val="none"/>
                <w:lang w:val="en-US" w:eastAsia="zh-CN"/>
              </w:rPr>
              <w:t>（3）成交供应商要有完善的、合理的质量控制保障措施。</w:t>
            </w:r>
          </w:p>
          <w:p w14:paraId="1394030C">
            <w:pPr>
              <w:rPr>
                <w:rFonts w:hint="eastAsia"/>
                <w:i w:val="0"/>
                <w:iCs w:val="0"/>
                <w:color w:val="auto"/>
                <w:highlight w:val="none"/>
                <w:lang w:val="en-US" w:eastAsia="zh-CN"/>
              </w:rPr>
            </w:pPr>
            <w:r>
              <w:rPr>
                <w:rFonts w:hint="eastAsia"/>
                <w:i w:val="0"/>
                <w:iCs w:val="0"/>
                <w:color w:val="auto"/>
                <w:highlight w:val="none"/>
                <w:lang w:val="en-US" w:eastAsia="zh-CN"/>
              </w:rPr>
              <w:t>（4）成交供应商应具有加油站或供油企业安全措施，加油场所消防安全责任一切由成交供应商承担，确保加油服务的安全。</w:t>
            </w:r>
          </w:p>
          <w:p w14:paraId="67B87F38">
            <w:pPr>
              <w:rPr>
                <w:rFonts w:hint="eastAsia"/>
                <w:i w:val="0"/>
                <w:iCs w:val="0"/>
                <w:color w:val="auto"/>
                <w:highlight w:val="none"/>
                <w:lang w:val="en-US" w:eastAsia="zh-CN"/>
              </w:rPr>
            </w:pPr>
            <w:r>
              <w:rPr>
                <w:rFonts w:hint="eastAsia"/>
                <w:i w:val="0"/>
                <w:iCs w:val="0"/>
                <w:color w:val="auto"/>
                <w:highlight w:val="none"/>
                <w:lang w:val="en-US" w:eastAsia="zh-CN"/>
              </w:rPr>
              <w:t>3、油品质量要求</w:t>
            </w:r>
          </w:p>
          <w:p w14:paraId="630625F3">
            <w:pPr>
              <w:rPr>
                <w:rFonts w:hint="eastAsia" w:ascii="宋体" w:hAnsi="宋体" w:eastAsia="宋体" w:cs="宋体"/>
                <w:i w:val="0"/>
                <w:iCs w:val="0"/>
                <w:color w:val="auto"/>
                <w:highlight w:val="none"/>
                <w:lang w:val="en-US" w:eastAsia="zh-CN"/>
              </w:rPr>
            </w:pPr>
            <w:r>
              <w:rPr>
                <w:rFonts w:hint="eastAsia"/>
                <w:i w:val="0"/>
                <w:iCs w:val="0"/>
                <w:color w:val="auto"/>
                <w:highlight w:val="none"/>
                <w:lang w:val="en-US" w:eastAsia="zh-CN"/>
              </w:rPr>
              <w:t>（</w:t>
            </w:r>
            <w:r>
              <w:rPr>
                <w:rFonts w:hint="eastAsia" w:ascii="宋体" w:hAnsi="宋体" w:eastAsia="宋体" w:cs="宋体"/>
                <w:i w:val="0"/>
                <w:iCs w:val="0"/>
                <w:color w:val="auto"/>
                <w:highlight w:val="none"/>
                <w:lang w:val="en-US" w:eastAsia="zh-CN"/>
              </w:rPr>
              <w:t>1）成交供应商提供的油品必须符合国家标准化管理委员会公布的GB 17930-2016《车用汽油》的要求，必须符合国家行业生产及经营标准，各项技术指标必须完全符合国家有关质量检测、环保标准及产品出厂标准。如国家实行新的标准，则按最新标准执行。</w:t>
            </w:r>
          </w:p>
          <w:p w14:paraId="5B70CC03">
            <w:pPr>
              <w:pStyle w:val="8"/>
              <w:ind w:left="0" w:leftChars="0" w:firstLine="0" w:firstLineChars="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（2）成交供应商需负责油品的运输、质量检测等工作，所产生的费用由成交供应商负责。</w:t>
            </w:r>
          </w:p>
          <w:p w14:paraId="49EFE020">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采购人有权不定期对成交供应商的油品进行抽查及要求成交供应商提供当月油品的检测报告给采购人审查备案。若经相关部门鉴定确立存在问题时（以国家或者地方政府指定检测部门抽检油站油品检验结果为基准）由成交供应商承担责任，赔偿损失。</w:t>
            </w:r>
          </w:p>
          <w:p w14:paraId="056E1823">
            <w:pPr>
              <w:pStyle w:val="8"/>
              <w:ind w:left="0" w:leftChars="0" w:firstLine="0" w:firstLineChars="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（4）因油品质量问题导致机器故障等，造成采购人损失的，成交供应商需承担赔偿责任。</w:t>
            </w:r>
          </w:p>
          <w:p w14:paraId="4FA1720C">
            <w:pPr>
              <w:rPr>
                <w:rFonts w:hint="eastAsia" w:ascii="微软雅黑" w:hAnsi="微软雅黑" w:eastAsia="微软雅黑" w:cs="微软雅黑"/>
                <w:i w:val="0"/>
                <w:iCs w:val="0"/>
                <w:color w:val="auto"/>
                <w:sz w:val="24"/>
                <w:szCs w:val="24"/>
                <w:highlight w:val="none"/>
              </w:rPr>
            </w:pPr>
            <w:r>
              <w:rPr>
                <w:rFonts w:hint="eastAsia" w:ascii="宋体" w:hAnsi="宋体" w:eastAsia="宋体" w:cs="宋体"/>
                <w:i w:val="0"/>
                <w:iCs w:val="0"/>
                <w:color w:val="auto"/>
                <w:highlight w:val="none"/>
                <w:lang w:val="en-US" w:eastAsia="zh-CN"/>
              </w:rPr>
              <w:t>（5）严禁供应不合格、假冒、伪劣、掺杂的汽油，否则，采购人有权单方面终止项目合同并追究成交供应商的法律责任。</w:t>
            </w:r>
          </w:p>
        </w:tc>
      </w:tr>
      <w:tr w14:paraId="49B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024FFF46">
            <w:pPr>
              <w:numPr>
                <w:ilvl w:val="0"/>
                <w:numId w:val="0"/>
              </w:numPr>
              <w:adjustRightInd w:val="0"/>
              <w:snapToGrid w:val="0"/>
              <w:ind w:right="120" w:rightChars="50"/>
              <w:jc w:val="left"/>
              <w:rPr>
                <w:rFonts w:hint="default" w:ascii="微软雅黑" w:hAnsi="微软雅黑" w:eastAsia="微软雅黑" w:cs="微软雅黑"/>
                <w:b/>
                <w:bCs/>
                <w:i w:val="0"/>
                <w:iCs w:val="0"/>
                <w:color w:val="auto"/>
                <w:sz w:val="24"/>
                <w:szCs w:val="24"/>
                <w:highlight w:val="none"/>
                <w:lang w:val="en-US" w:eastAsia="zh-CN"/>
              </w:rPr>
            </w:pPr>
            <w:r>
              <w:rPr>
                <w:rFonts w:hint="eastAsia" w:ascii="微软雅黑" w:hAnsi="微软雅黑" w:eastAsia="微软雅黑" w:cs="微软雅黑"/>
                <w:b/>
                <w:bCs/>
                <w:i w:val="0"/>
                <w:iCs w:val="0"/>
                <w:color w:val="auto"/>
                <w:sz w:val="24"/>
                <w:szCs w:val="24"/>
                <w:highlight w:val="none"/>
                <w:lang w:val="en-US" w:eastAsia="zh-CN"/>
              </w:rPr>
              <w:t>三、违约责任</w:t>
            </w:r>
          </w:p>
          <w:p w14:paraId="3431DF7A">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1、由于成交供应商自身原因或不可抗力原因而导致采购人逾期付款的，采购人不承担违约责任，并且此情况不能成为成交供应商延期交货及服务的理由。</w:t>
            </w:r>
          </w:p>
          <w:p w14:paraId="58C162DE">
            <w:pPr>
              <w:rPr>
                <w:rFonts w:hint="eastAsia" w:ascii="宋体" w:hAnsi="宋体" w:eastAsia="宋体" w:cs="宋体"/>
                <w:i w:val="0"/>
                <w:iCs w:val="0"/>
                <w:color w:val="auto"/>
                <w:highlight w:val="none"/>
                <w:lang w:val="en-US" w:eastAsia="zh-CN"/>
              </w:rPr>
            </w:pPr>
            <w:r>
              <w:rPr>
                <w:rFonts w:hint="eastAsia" w:ascii="宋体" w:hAnsi="宋体" w:cs="宋体"/>
                <w:i w:val="0"/>
                <w:iCs w:val="0"/>
                <w:color w:val="auto"/>
                <w:highlight w:val="none"/>
                <w:lang w:val="en-US" w:eastAsia="zh-CN"/>
              </w:rPr>
              <w:t>2</w:t>
            </w:r>
            <w:r>
              <w:rPr>
                <w:rFonts w:hint="eastAsia" w:ascii="宋体" w:hAnsi="宋体" w:eastAsia="宋体" w:cs="宋体"/>
                <w:i w:val="0"/>
                <w:iCs w:val="0"/>
                <w:color w:val="auto"/>
                <w:highlight w:val="none"/>
                <w:lang w:val="en-US" w:eastAsia="zh-CN"/>
              </w:rPr>
              <w:t>、采购人发现成交供应商交付的油品规格、质量标准与本合同规定不符的，有权拒收该批次油品，并要求成交供应商在24小时内更换合格油品，成交供应商还应向甲方支付人民币壹万元的违约金。</w:t>
            </w:r>
          </w:p>
          <w:p w14:paraId="3BB6B9A5">
            <w:pPr>
              <w:rPr>
                <w:rFonts w:hint="eastAsia" w:ascii="宋体" w:hAnsi="宋体" w:eastAsia="宋体" w:cs="宋体"/>
                <w:i w:val="0"/>
                <w:iCs w:val="0"/>
                <w:color w:val="auto"/>
                <w:highlight w:val="none"/>
                <w:lang w:val="en-US" w:eastAsia="zh-CN"/>
              </w:rPr>
            </w:pPr>
            <w:r>
              <w:rPr>
                <w:rFonts w:hint="eastAsia" w:ascii="宋体" w:hAnsi="宋体" w:cs="宋体"/>
                <w:i w:val="0"/>
                <w:iCs w:val="0"/>
                <w:color w:val="auto"/>
                <w:highlight w:val="none"/>
                <w:lang w:val="en-US" w:eastAsia="zh-CN"/>
              </w:rPr>
              <w:t>3、</w:t>
            </w:r>
            <w:r>
              <w:rPr>
                <w:rFonts w:hint="eastAsia" w:ascii="宋体" w:hAnsi="宋体" w:eastAsia="宋体" w:cs="宋体"/>
                <w:i w:val="0"/>
                <w:iCs w:val="0"/>
                <w:color w:val="auto"/>
                <w:highlight w:val="none"/>
                <w:lang w:val="en-US" w:eastAsia="zh-CN"/>
              </w:rPr>
              <w:t>因油品质量问题直接导致甲方车辆、设备损坏或产生维修费用的，成交供应商应承担全部维修费用及采购人的其他直接经济损失。</w:t>
            </w:r>
          </w:p>
          <w:p w14:paraId="41BAAA83">
            <w:pPr>
              <w:rPr>
                <w:rFonts w:hint="default" w:ascii="微软雅黑" w:hAnsi="微软雅黑" w:eastAsia="微软雅黑" w:cs="微软雅黑"/>
                <w:b/>
                <w:i w:val="0"/>
                <w:iCs w:val="0"/>
                <w:color w:val="auto"/>
                <w:sz w:val="24"/>
                <w:szCs w:val="24"/>
                <w:highlight w:val="none"/>
                <w:lang w:val="en-US" w:eastAsia="zh-CN"/>
              </w:rPr>
            </w:pPr>
            <w:r>
              <w:rPr>
                <w:rFonts w:hint="eastAsia" w:ascii="宋体" w:hAnsi="宋体" w:cs="宋体"/>
                <w:i w:val="0"/>
                <w:iCs w:val="0"/>
                <w:color w:val="auto"/>
                <w:highlight w:val="none"/>
                <w:lang w:val="en-US" w:eastAsia="zh-CN"/>
              </w:rPr>
              <w:t>4</w:t>
            </w:r>
            <w:r>
              <w:rPr>
                <w:rFonts w:hint="eastAsia" w:ascii="宋体" w:hAnsi="宋体" w:eastAsia="宋体" w:cs="宋体"/>
                <w:i w:val="0"/>
                <w:iCs w:val="0"/>
                <w:color w:val="auto"/>
                <w:highlight w:val="none"/>
                <w:lang w:val="en-US" w:eastAsia="zh-CN"/>
              </w:rPr>
              <w:t>、成交供应商未经采购人书面同意，将本合同项下业务转让给第三方或进行分包的，甲方有权单方解除本合同。</w:t>
            </w:r>
          </w:p>
        </w:tc>
      </w:tr>
      <w:tr w14:paraId="78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C85213D">
            <w:pPr>
              <w:adjustRightInd w:val="0"/>
              <w:snapToGrid w:val="0"/>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四、付款方式及条件：</w:t>
            </w:r>
          </w:p>
          <w:p w14:paraId="74950669">
            <w:pPr>
              <w:adjustRightInd w:val="0"/>
              <w:snapToGrid w:val="0"/>
              <w:jc w:val="left"/>
              <w:rPr>
                <w:rFonts w:hint="eastAsia" w:eastAsia="宋体" w:asciiTheme="minorEastAsia" w:hAnsi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1</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按每月实际情况结算，每月10日前供应商需提供上月加油登记表。</w:t>
            </w:r>
            <w:r>
              <w:rPr>
                <w:rFonts w:hint="eastAsia" w:asciiTheme="minorEastAsia" w:hAnsiTheme="minorEastAsia" w:eastAsiaTheme="minorEastAsia" w:cstheme="minorEastAsia"/>
                <w:i w:val="0"/>
                <w:iCs w:val="0"/>
                <w:color w:val="auto"/>
                <w:sz w:val="24"/>
                <w:szCs w:val="24"/>
                <w:highlight w:val="none"/>
              </w:rPr>
              <w:t>供应商向采购人提交申请款项支付资料之后30个工作日内，采购人向成交供应商支付款项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lang w:val="en-US" w:eastAsia="zh-CN"/>
              </w:rPr>
              <w:t>结算公式如下：</w:t>
            </w:r>
            <w:r>
              <w:rPr>
                <w:i w:val="0"/>
                <w:iCs w:val="0"/>
                <w:color w:val="auto"/>
                <w:highlight w:val="none"/>
              </w:rPr>
              <w:t>日结算价=加油消费当日国家发改委公布的成品油零售挂牌价（单位：元/升）×结算折扣率×加油消费当日的加油数量；结算总价=结算期间产生的日结算价之和</w:t>
            </w:r>
            <w:r>
              <w:rPr>
                <w:rFonts w:hint="eastAsia"/>
                <w:i w:val="0"/>
                <w:iCs w:val="0"/>
                <w:color w:val="auto"/>
                <w:highlight w:val="none"/>
                <w:lang w:eastAsia="zh-CN"/>
              </w:rPr>
              <w:t>。</w:t>
            </w:r>
          </w:p>
          <w:p w14:paraId="275EABF6">
            <w:pPr>
              <w:adjustRightInd w:val="0"/>
              <w:snapToGrid w:val="0"/>
              <w:jc w:val="left"/>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本合同款项以人民币通过银行转账方式结算，乙方凭以下资料申请款项支付：</w:t>
            </w:r>
          </w:p>
          <w:p w14:paraId="1CA8A527">
            <w:pPr>
              <w:adjustRightInd w:val="0"/>
              <w:snapToGrid w:val="0"/>
              <w:jc w:val="left"/>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①合同复印件；②加油登记表；③乙方开具对应款项的正规全额发票和对应款项收据。</w:t>
            </w:r>
          </w:p>
          <w:p w14:paraId="0F894166">
            <w:pPr>
              <w:adjustRightInd w:val="0"/>
              <w:snapToGrid w:val="0"/>
              <w:jc w:val="left"/>
              <w:rPr>
                <w:rFonts w:hint="eastAsia" w:ascii="微软雅黑" w:hAnsi="微软雅黑" w:eastAsia="微软雅黑" w:cs="微软雅黑"/>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tc>
      </w:tr>
      <w:tr w14:paraId="10A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68B9226">
            <w:pPr>
              <w:numPr>
                <w:ilvl w:val="0"/>
                <w:numId w:val="3"/>
              </w:numPr>
              <w:adjustRightInd w:val="0"/>
              <w:snapToGrid w:val="0"/>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验收</w:t>
            </w:r>
          </w:p>
          <w:p w14:paraId="635CCE6E">
            <w:pPr>
              <w:adjustRightInd w:val="0"/>
              <w:snapToGrid w:val="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验收标准：按国家或地方或行业有关标准及</w:t>
            </w:r>
            <w:r>
              <w:rPr>
                <w:rFonts w:hint="eastAsia" w:asciiTheme="minorEastAsia" w:hAnsiTheme="minorEastAsia" w:eastAsiaTheme="minorEastAsia" w:cstheme="minorEastAsia"/>
                <w:i w:val="0"/>
                <w:iCs w:val="0"/>
                <w:color w:val="auto"/>
                <w:sz w:val="24"/>
                <w:szCs w:val="24"/>
                <w:highlight w:val="none"/>
                <w:lang w:val="en-US" w:eastAsia="zh-CN"/>
              </w:rPr>
              <w:t>项目采购需求</w:t>
            </w:r>
            <w:r>
              <w:rPr>
                <w:rFonts w:hint="eastAsia" w:asciiTheme="minorEastAsia" w:hAnsiTheme="minorEastAsia" w:eastAsiaTheme="minorEastAsia" w:cstheme="minorEastAsia"/>
                <w:i w:val="0"/>
                <w:iCs w:val="0"/>
                <w:color w:val="auto"/>
                <w:sz w:val="24"/>
                <w:szCs w:val="24"/>
                <w:highlight w:val="none"/>
              </w:rPr>
              <w:t>执行。</w:t>
            </w:r>
          </w:p>
          <w:p w14:paraId="5148D462">
            <w:pPr>
              <w:adjustRightInd w:val="0"/>
              <w:snapToGrid w:val="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验收程序：按照中</w:t>
            </w:r>
            <w:r>
              <w:rPr>
                <w:rFonts w:hint="eastAsia" w:asciiTheme="minorEastAsia" w:hAnsiTheme="minorEastAsia" w:eastAsiaTheme="minorEastAsia" w:cstheme="minorEastAsia"/>
                <w:i w:val="0"/>
                <w:iCs w:val="0"/>
                <w:color w:val="auto"/>
                <w:sz w:val="24"/>
                <w:szCs w:val="24"/>
                <w:highlight w:val="none"/>
                <w:lang w:eastAsia="zh-CN"/>
              </w:rPr>
              <w:t>山市口腔医院</w:t>
            </w:r>
            <w:r>
              <w:rPr>
                <w:rFonts w:hint="eastAsia" w:asciiTheme="minorEastAsia" w:hAnsiTheme="minorEastAsia" w:eastAsiaTheme="minorEastAsia" w:cstheme="minorEastAsia"/>
                <w:i w:val="0"/>
                <w:iCs w:val="0"/>
                <w:color w:val="auto"/>
                <w:sz w:val="24"/>
                <w:szCs w:val="24"/>
                <w:highlight w:val="none"/>
              </w:rPr>
              <w:t>验收管理流程有关要求进行验收。</w:t>
            </w:r>
          </w:p>
          <w:p w14:paraId="0B6CB254">
            <w:pPr>
              <w:adjustRightInd w:val="0"/>
              <w:snapToGrid w:val="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3、</w:t>
            </w:r>
            <w:r>
              <w:rPr>
                <w:rFonts w:hint="eastAsia" w:asciiTheme="minorEastAsia" w:hAnsiTheme="minorEastAsia" w:eastAsiaTheme="minorEastAsia" w:cstheme="minorEastAsia"/>
                <w:i w:val="0"/>
                <w:iCs w:val="0"/>
                <w:color w:val="auto"/>
                <w:sz w:val="24"/>
                <w:szCs w:val="24"/>
                <w:highlight w:val="none"/>
              </w:rPr>
              <w:t>验收报告：由采购人出具验收报告。</w:t>
            </w:r>
          </w:p>
          <w:p w14:paraId="4D39F8F1">
            <w:pPr>
              <w:adjustRightInd w:val="0"/>
              <w:snapToGrid w:val="0"/>
              <w:rPr>
                <w:rFonts w:hint="eastAsia" w:ascii="微软雅黑" w:hAnsi="微软雅黑" w:eastAsia="微软雅黑" w:cs="微软雅黑"/>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4、</w:t>
            </w:r>
            <w:r>
              <w:rPr>
                <w:rFonts w:hint="eastAsia" w:asciiTheme="minorEastAsia" w:hAnsiTheme="minorEastAsia" w:eastAsiaTheme="minorEastAsia" w:cstheme="minorEastAsia"/>
                <w:i w:val="0"/>
                <w:iCs w:val="0"/>
                <w:color w:val="auto"/>
                <w:sz w:val="24"/>
                <w:szCs w:val="24"/>
                <w:highlight w:val="none"/>
              </w:rPr>
              <w:t>组织验收主体：本项目的履约验收工作由采购人依法组织实施。</w:t>
            </w:r>
          </w:p>
        </w:tc>
      </w:tr>
      <w:tr w14:paraId="1292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6E7AEEF">
            <w:pPr>
              <w:numPr>
                <w:ilvl w:val="0"/>
                <w:numId w:val="3"/>
              </w:numPr>
              <w:adjustRightInd w:val="0"/>
              <w:snapToGrid w:val="0"/>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售后服务</w:t>
            </w:r>
          </w:p>
          <w:p w14:paraId="0AD1AB17">
            <w:pPr>
              <w:pStyle w:val="8"/>
              <w:numPr>
                <w:ilvl w:val="0"/>
                <w:numId w:val="0"/>
              </w:numPr>
              <w:ind w:leftChars="0"/>
              <w:rPr>
                <w:rFonts w:hint="eastAsia" w:asciiTheme="minorEastAsia" w:hAnsiTheme="minorEastAsia" w:eastAsiaTheme="minorEastAsia" w:cstheme="minorEastAsia"/>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lang w:val="en-US" w:eastAsia="zh-CN"/>
              </w:rPr>
              <w:t>、现场支持：响应时间</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u w:val="single"/>
                <w:lang w:val="en-US" w:eastAsia="zh-CN"/>
              </w:rPr>
              <w:t>10</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lang w:val="en-US" w:eastAsia="zh-CN"/>
              </w:rPr>
              <w:t>分钟</w:t>
            </w:r>
            <w:r>
              <w:rPr>
                <w:rFonts w:hint="eastAsia" w:asciiTheme="minorEastAsia" w:hAnsiTheme="minorEastAsia" w:eastAsiaTheme="minorEastAsia" w:cstheme="minorEastAsia"/>
                <w:i w:val="0"/>
                <w:iCs w:val="0"/>
                <w:color w:val="auto"/>
                <w:sz w:val="24"/>
                <w:szCs w:val="24"/>
                <w:highlight w:val="none"/>
                <w:lang w:val="en-US" w:eastAsia="zh-CN"/>
              </w:rPr>
              <w:t>；</w:t>
            </w:r>
          </w:p>
          <w:p w14:paraId="5627DED5">
            <w:pPr>
              <w:pStyle w:val="8"/>
              <w:numPr>
                <w:ilvl w:val="0"/>
                <w:numId w:val="0"/>
              </w:numPr>
              <w:ind w:leftChars="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2、到达现场时间：</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10 </w:t>
            </w:r>
            <w:r>
              <w:rPr>
                <w:rFonts w:hint="eastAsia" w:asciiTheme="minorEastAsia" w:hAnsiTheme="minorEastAsia" w:eastAsiaTheme="minorEastAsia" w:cstheme="minorEastAsia"/>
                <w:i w:val="0"/>
                <w:iCs w:val="0"/>
                <w:color w:val="auto"/>
                <w:sz w:val="24"/>
                <w:szCs w:val="24"/>
                <w:highlight w:val="none"/>
                <w:lang w:val="en-US" w:eastAsia="zh-CN"/>
              </w:rPr>
              <w:t>分钟/</w:t>
            </w:r>
            <w:r>
              <w:rPr>
                <w:rFonts w:hint="eastAsia" w:asciiTheme="minorEastAsia" w:hAnsiTheme="minorEastAsia" w:eastAsiaTheme="minorEastAsia" w:cstheme="minorEastAsia"/>
                <w:i w:val="0"/>
                <w:iCs w:val="0"/>
                <w:color w:val="auto"/>
                <w:sz w:val="24"/>
                <w:szCs w:val="24"/>
                <w:highlight w:val="none"/>
                <w:u w:val="single"/>
              </w:rPr>
              <w:t xml:space="preserve"> </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1 </w:t>
            </w:r>
            <w:r>
              <w:rPr>
                <w:rFonts w:hint="eastAsia" w:asciiTheme="minorEastAsia" w:hAnsiTheme="minorEastAsia" w:eastAsiaTheme="minorEastAsia" w:cstheme="minorEastAsia"/>
                <w:i w:val="0"/>
                <w:iCs w:val="0"/>
                <w:color w:val="auto"/>
                <w:sz w:val="24"/>
                <w:szCs w:val="24"/>
                <w:highlight w:val="none"/>
                <w:lang w:val="en-US" w:eastAsia="zh-CN"/>
              </w:rPr>
              <w:t>小时。</w:t>
            </w:r>
          </w:p>
          <w:p w14:paraId="729AF6B7">
            <w:pPr>
              <w:pStyle w:val="8"/>
              <w:numPr>
                <w:ilvl w:val="0"/>
                <w:numId w:val="0"/>
              </w:numPr>
              <w:ind w:leftChars="0"/>
              <w:rPr>
                <w:rFonts w:hint="eastAsia" w:ascii="微软雅黑" w:hAnsi="微软雅黑" w:eastAsia="微软雅黑" w:cs="微软雅黑"/>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3、热线支持：提供7*24小时热线支持。</w:t>
            </w:r>
          </w:p>
        </w:tc>
      </w:tr>
      <w:tr w14:paraId="1C10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0915B23">
            <w:pPr>
              <w:adjustRightInd w:val="0"/>
              <w:snapToGrid w:val="0"/>
              <w:jc w:val="left"/>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七、知识产权及保密：</w:t>
            </w:r>
          </w:p>
          <w:p w14:paraId="4BEB2C21">
            <w:pPr>
              <w:adjustRightInd w:val="0"/>
              <w:snapToGrid w:val="0"/>
              <w:ind w:right="120" w:rightChars="50"/>
              <w:rPr>
                <w:rFonts w:hint="eastAsia" w:asciiTheme="minorEastAsia" w:hAnsiTheme="minorEastAsia" w:eastAsiaTheme="minorEastAsia" w:cstheme="minorEastAsia"/>
                <w:i w:val="0"/>
                <w:iCs w:val="0"/>
                <w:color w:val="auto"/>
                <w:sz w:val="24"/>
                <w:szCs w:val="24"/>
                <w:highlight w:val="none"/>
                <w:lang w:bidi="zh-CN"/>
              </w:rPr>
            </w:pPr>
            <w:r>
              <w:rPr>
                <w:rFonts w:hint="eastAsia" w:asciiTheme="minorEastAsia" w:hAnsiTheme="minorEastAsia" w:eastAsiaTheme="minorEastAsia" w:cstheme="minorEastAsia"/>
                <w:i w:val="0"/>
                <w:iCs w:val="0"/>
                <w:color w:val="auto"/>
                <w:sz w:val="24"/>
                <w:szCs w:val="24"/>
                <w:highlight w:val="none"/>
                <w:lang w:bidi="zh-CN"/>
              </w:rPr>
              <w:t>1、成交供应商应保证其向采购人提供的本合同项下的货物或服务以及其中包含的任何一部分不侵犯任何第三方的作品、发明专利、商业秘密等知识产权。如因上述原因，第三方向采购人提起侵权诉讼，成交供应商负责交涉、处理并承担由此引起的全部法律及经济责任。</w:t>
            </w:r>
          </w:p>
          <w:p w14:paraId="6C8DEF14">
            <w:pPr>
              <w:adjustRightInd w:val="0"/>
              <w:snapToGrid w:val="0"/>
              <w:ind w:right="120" w:rightChars="50"/>
              <w:rPr>
                <w:rFonts w:hint="eastAsia" w:asciiTheme="minorEastAsia" w:hAnsiTheme="minorEastAsia" w:eastAsiaTheme="minorEastAsia" w:cstheme="minorEastAsia"/>
                <w:i w:val="0"/>
                <w:iCs w:val="0"/>
                <w:color w:val="auto"/>
                <w:sz w:val="24"/>
                <w:szCs w:val="24"/>
                <w:highlight w:val="none"/>
                <w:lang w:bidi="zh-CN"/>
              </w:rPr>
            </w:pPr>
            <w:r>
              <w:rPr>
                <w:rFonts w:hint="eastAsia" w:asciiTheme="minorEastAsia" w:hAnsiTheme="minorEastAsia" w:eastAsiaTheme="minorEastAsia" w:cstheme="minorEastAsia"/>
                <w:i w:val="0"/>
                <w:iCs w:val="0"/>
                <w:color w:val="auto"/>
                <w:sz w:val="24"/>
                <w:szCs w:val="24"/>
                <w:highlight w:val="none"/>
                <w:lang w:bidi="zh-CN"/>
              </w:rPr>
              <w:t>2、一方对另一方提供的技术资料、样件、图纸及其他与质量、技术、经营相关信息（包括但不限于价格、数量）有保密义务。双方应确保其人员及相关协作方承担保密义务。</w:t>
            </w:r>
          </w:p>
          <w:p w14:paraId="590A863D">
            <w:pPr>
              <w:adjustRightInd w:val="0"/>
              <w:snapToGrid w:val="0"/>
              <w:ind w:right="120" w:rightChars="50"/>
              <w:rPr>
                <w:rFonts w:hint="eastAsia" w:asciiTheme="minorEastAsia" w:hAnsiTheme="minorEastAsia" w:eastAsiaTheme="minorEastAsia" w:cstheme="minorEastAsia"/>
                <w:i w:val="0"/>
                <w:iCs w:val="0"/>
                <w:color w:val="auto"/>
                <w:sz w:val="24"/>
                <w:szCs w:val="24"/>
                <w:highlight w:val="none"/>
                <w:lang w:bidi="zh-CN"/>
              </w:rPr>
            </w:pPr>
            <w:r>
              <w:rPr>
                <w:rFonts w:hint="eastAsia" w:asciiTheme="minorEastAsia" w:hAnsiTheme="minorEastAsia" w:eastAsiaTheme="minorEastAsia" w:cstheme="minorEastAsia"/>
                <w:i w:val="0"/>
                <w:iCs w:val="0"/>
                <w:color w:val="auto"/>
                <w:sz w:val="24"/>
                <w:szCs w:val="24"/>
                <w:highlight w:val="none"/>
                <w:lang w:bidi="zh-CN"/>
              </w:rPr>
              <w:t>3、成交供应商保证，成交供应商依据本合同提供的货物或服务以及与之相关的软件和技术资料，成交供应商均已得到有关知识产权的权利人的合法授权，如发生涉及到专利权、著作权、商标权等争议，成交供应商负责交涉、处理，并承担由此引起的对第三人和采购人的全部法律及经济责任。</w:t>
            </w:r>
          </w:p>
          <w:p w14:paraId="45B225CE">
            <w:pPr>
              <w:adjustRightInd w:val="0"/>
              <w:snapToGrid w:val="0"/>
              <w:ind w:right="120" w:rightChars="50"/>
              <w:rPr>
                <w:rFonts w:hint="eastAsia" w:ascii="微软雅黑" w:hAnsi="微软雅黑" w:eastAsia="微软雅黑" w:cs="微软雅黑"/>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bidi="zh-CN"/>
              </w:rPr>
              <w:t>4、本合同中涉及知识产权任何条款，在合同期限内及合同终止后持续有效。</w:t>
            </w:r>
          </w:p>
        </w:tc>
      </w:tr>
      <w:tr w14:paraId="3222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D6673E0">
            <w:pPr>
              <w:adjustRightInd w:val="0"/>
              <w:snapToGrid w:val="0"/>
              <w:ind w:right="120" w:rightChars="50"/>
              <w:jc w:val="left"/>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rPr>
              <w:t>八、其他：</w:t>
            </w:r>
          </w:p>
          <w:p w14:paraId="4A402DF1">
            <w:pPr>
              <w:adjustRightInd w:val="0"/>
              <w:snapToGrid w:val="0"/>
              <w:ind w:right="120" w:rightChars="50"/>
              <w:jc w:val="left"/>
              <w:rPr>
                <w:rFonts w:hint="eastAsia" w:ascii="微软雅黑" w:hAnsi="微软雅黑" w:eastAsia="微软雅黑" w:cs="微软雅黑"/>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成交供应商在提供服务全流程过程中，发生的所有人身伤害或财产损失均由成交供应商自行承担全部责任。</w:t>
            </w:r>
          </w:p>
        </w:tc>
      </w:tr>
    </w:tbl>
    <w:p w14:paraId="78DEFCEA">
      <w:pPr>
        <w:spacing w:line="360" w:lineRule="auto"/>
        <w:rPr>
          <w:rFonts w:hint="eastAsia" w:ascii="微软雅黑" w:hAnsi="微软雅黑" w:eastAsia="微软雅黑" w:cs="微软雅黑"/>
          <w:i w:val="0"/>
          <w:iCs w:val="0"/>
          <w:color w:val="auto"/>
          <w:sz w:val="24"/>
          <w:szCs w:val="24"/>
          <w:highlight w:val="none"/>
          <w:lang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p>
    <w:p w14:paraId="33108BB0">
      <w:pPr>
        <w:spacing w:line="360" w:lineRule="auto"/>
        <w:jc w:val="left"/>
        <w:rPr>
          <w:rFonts w:hint="eastAsia" w:ascii="微软雅黑" w:hAnsi="微软雅黑" w:eastAsia="微软雅黑" w:cs="微软雅黑"/>
          <w:i w:val="0"/>
          <w:iCs w:val="0"/>
          <w:color w:val="auto"/>
          <w:sz w:val="24"/>
          <w:szCs w:val="24"/>
          <w:highlight w:val="none"/>
          <w:lang w:eastAsia="zh-CN"/>
        </w:rPr>
      </w:pPr>
      <w:r>
        <w:rPr>
          <w:rFonts w:hint="eastAsia" w:ascii="微软雅黑" w:hAnsi="微软雅黑" w:eastAsia="微软雅黑" w:cs="微软雅黑"/>
          <w:i w:val="0"/>
          <w:iCs w:val="0"/>
          <w:color w:val="auto"/>
          <w:sz w:val="24"/>
          <w:szCs w:val="24"/>
          <w:highlight w:val="none"/>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i w:val="0"/>
                <w:iCs w:val="0"/>
                <w:color w:val="auto"/>
                <w:szCs w:val="21"/>
                <w:highlight w:val="none"/>
              </w:rPr>
            </w:pPr>
            <w:r>
              <w:rPr>
                <w:rFonts w:hint="eastAsia" w:ascii="微软雅黑" w:hAnsi="微软雅黑" w:eastAsia="微软雅黑" w:cs="微软雅黑"/>
                <w:i w:val="0"/>
                <w:iCs w:val="0"/>
                <w:color w:val="auto"/>
                <w:sz w:val="24"/>
                <w:szCs w:val="24"/>
                <w:highlight w:val="none"/>
                <w:lang w:val="en-US" w:eastAsia="zh-CN"/>
              </w:rPr>
              <w:tab/>
            </w:r>
            <w:r>
              <w:rPr>
                <w:rFonts w:hint="eastAsia" w:ascii="宋体" w:hAnsi="宋体" w:cs="宋体"/>
                <w:i w:val="0"/>
                <w:iCs w:val="0"/>
                <w:color w:val="auto"/>
                <w:szCs w:val="21"/>
                <w:highlight w:val="none"/>
              </w:rPr>
              <w:t>评审因素</w:t>
            </w:r>
          </w:p>
        </w:tc>
        <w:tc>
          <w:tcPr>
            <w:tcW w:w="7586" w:type="dxa"/>
            <w:gridSpan w:val="2"/>
            <w:noWrap/>
          </w:tcPr>
          <w:p w14:paraId="22C1D796">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分值构成</w:t>
            </w:r>
          </w:p>
        </w:tc>
        <w:tc>
          <w:tcPr>
            <w:tcW w:w="7586" w:type="dxa"/>
            <w:gridSpan w:val="2"/>
            <w:noWrap/>
          </w:tcPr>
          <w:p w14:paraId="0EE8D9D7">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lang w:eastAsia="zh-CN"/>
              </w:rPr>
              <w:t>商务技术</w:t>
            </w:r>
            <w:r>
              <w:rPr>
                <w:rFonts w:hint="eastAsia" w:ascii="宋体" w:hAnsi="宋体" w:cs="宋体"/>
                <w:i w:val="0"/>
                <w:iCs w:val="0"/>
                <w:color w:val="auto"/>
                <w:szCs w:val="21"/>
                <w:highlight w:val="none"/>
              </w:rPr>
              <w:t>部分</w:t>
            </w:r>
            <w:r>
              <w:rPr>
                <w:rFonts w:hint="eastAsia" w:ascii="宋体" w:hAnsi="宋体" w:cs="宋体"/>
                <w:i w:val="0"/>
                <w:iCs w:val="0"/>
                <w:color w:val="auto"/>
                <w:szCs w:val="21"/>
                <w:highlight w:val="none"/>
                <w:lang w:val="en-US" w:eastAsia="zh-CN"/>
              </w:rPr>
              <w:t>85</w:t>
            </w:r>
            <w:r>
              <w:rPr>
                <w:rFonts w:hint="eastAsia" w:ascii="宋体" w:hAnsi="宋体" w:cs="宋体"/>
                <w:i w:val="0"/>
                <w:iCs w:val="0"/>
                <w:color w:val="auto"/>
                <w:szCs w:val="21"/>
                <w:highlight w:val="none"/>
              </w:rPr>
              <w:t>.0分</w:t>
            </w:r>
          </w:p>
          <w:p w14:paraId="291C36ED">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价格得分1</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lang w:eastAsia="zh-CN"/>
              </w:rPr>
              <w:t>商务</w:t>
            </w:r>
            <w:r>
              <w:rPr>
                <w:rFonts w:hint="eastAsia" w:ascii="宋体" w:hAnsi="宋体" w:cs="宋体"/>
                <w:i w:val="0"/>
                <w:iCs w:val="0"/>
                <w:color w:val="auto"/>
                <w:szCs w:val="21"/>
                <w:highlight w:val="none"/>
              </w:rPr>
              <w:t>技术部分</w:t>
            </w:r>
          </w:p>
          <w:p w14:paraId="4E05E5EA">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85</w:t>
            </w:r>
            <w:r>
              <w:rPr>
                <w:rFonts w:hint="eastAsia" w:ascii="宋体" w:hAnsi="宋体" w:cs="宋体"/>
                <w:i w:val="0"/>
                <w:iCs w:val="0"/>
                <w:color w:val="auto"/>
                <w:szCs w:val="21"/>
                <w:highlight w:val="none"/>
              </w:rPr>
              <w:t>分）</w:t>
            </w:r>
          </w:p>
        </w:tc>
        <w:tc>
          <w:tcPr>
            <w:tcW w:w="1836" w:type="dxa"/>
            <w:noWrap/>
            <w:vAlign w:val="center"/>
          </w:tcPr>
          <w:p w14:paraId="289F16E8">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项目实施方案 (</w:t>
            </w:r>
            <w:r>
              <w:rPr>
                <w:rFonts w:hint="eastAsia" w:ascii="宋体" w:hAnsi="宋体" w:cs="宋体"/>
                <w:i w:val="0"/>
                <w:iCs w:val="0"/>
                <w:color w:val="auto"/>
                <w:szCs w:val="21"/>
                <w:highlight w:val="none"/>
                <w:lang w:val="en-US" w:eastAsia="zh-CN"/>
              </w:rPr>
              <w:t>30</w:t>
            </w:r>
            <w:r>
              <w:rPr>
                <w:rFonts w:hint="eastAsia" w:ascii="宋体" w:hAnsi="宋体" w:cs="宋体"/>
                <w:i w:val="0"/>
                <w:iCs w:val="0"/>
                <w:color w:val="auto"/>
                <w:szCs w:val="21"/>
                <w:highlight w:val="none"/>
              </w:rPr>
              <w:t>分)</w:t>
            </w:r>
          </w:p>
        </w:tc>
        <w:tc>
          <w:tcPr>
            <w:tcW w:w="5750" w:type="dxa"/>
            <w:noWrap/>
          </w:tcPr>
          <w:p w14:paraId="07C9E26B">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根据供应商提供的实施方案（包括但不限于工作实施的各个阶段、各项工作的服务内容、服务目标、服务时间和进度计划等）进行评审：</w:t>
            </w:r>
          </w:p>
          <w:p w14:paraId="412C16AE">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1、</w:t>
            </w:r>
            <w:r>
              <w:rPr>
                <w:rFonts w:hint="eastAsia" w:ascii="宋体" w:hAnsi="宋体" w:cs="宋体"/>
                <w:i w:val="0"/>
                <w:iCs w:val="0"/>
                <w:color w:val="auto"/>
                <w:szCs w:val="21"/>
                <w:highlight w:val="none"/>
              </w:rPr>
              <w:t>实施方案涵盖上述所有内容，方案详细具体，能细化到采购需求的所有内容且详细具体，科学、实用和合理，完全满足或优于采购需求的，得</w:t>
            </w:r>
            <w:r>
              <w:rPr>
                <w:rFonts w:hint="eastAsia" w:ascii="宋体" w:hAnsi="宋体" w:cs="宋体"/>
                <w:i w:val="0"/>
                <w:iCs w:val="0"/>
                <w:color w:val="auto"/>
                <w:szCs w:val="21"/>
                <w:highlight w:val="none"/>
                <w:lang w:val="en-US" w:eastAsia="zh-CN"/>
              </w:rPr>
              <w:t>30</w:t>
            </w:r>
            <w:r>
              <w:rPr>
                <w:rFonts w:hint="eastAsia" w:ascii="宋体" w:hAnsi="宋体" w:cs="宋体"/>
                <w:i w:val="0"/>
                <w:iCs w:val="0"/>
                <w:color w:val="auto"/>
                <w:szCs w:val="21"/>
                <w:highlight w:val="none"/>
              </w:rPr>
              <w:t>分；</w:t>
            </w:r>
          </w:p>
          <w:p w14:paraId="53DC7291">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2、</w:t>
            </w:r>
            <w:r>
              <w:rPr>
                <w:rFonts w:hint="eastAsia" w:ascii="宋体" w:hAnsi="宋体" w:cs="宋体"/>
                <w:i w:val="0"/>
                <w:iCs w:val="0"/>
                <w:color w:val="auto"/>
                <w:szCs w:val="21"/>
                <w:highlight w:val="none"/>
              </w:rPr>
              <w:t>实施方案涵盖上述所有内容，方案较详细，能比较细化到采购需求的所有内容，较科学、比较实用和合理，比较满足采购需求的，得</w:t>
            </w:r>
            <w:r>
              <w:rPr>
                <w:rFonts w:hint="eastAsia" w:ascii="宋体" w:hAnsi="宋体" w:cs="宋体"/>
                <w:i w:val="0"/>
                <w:iCs w:val="0"/>
                <w:color w:val="auto"/>
                <w:szCs w:val="21"/>
                <w:highlight w:val="none"/>
                <w:lang w:val="en-US" w:eastAsia="zh-CN"/>
              </w:rPr>
              <w:t>20</w:t>
            </w:r>
            <w:r>
              <w:rPr>
                <w:rFonts w:hint="eastAsia" w:ascii="宋体" w:hAnsi="宋体" w:cs="宋体"/>
                <w:i w:val="0"/>
                <w:iCs w:val="0"/>
                <w:color w:val="auto"/>
                <w:szCs w:val="21"/>
                <w:highlight w:val="none"/>
              </w:rPr>
              <w:t>分；</w:t>
            </w:r>
          </w:p>
          <w:p w14:paraId="05C046BB">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3、</w:t>
            </w:r>
            <w:r>
              <w:rPr>
                <w:rFonts w:hint="eastAsia" w:ascii="宋体" w:hAnsi="宋体" w:cs="宋体"/>
                <w:i w:val="0"/>
                <w:iCs w:val="0"/>
                <w:color w:val="auto"/>
                <w:szCs w:val="21"/>
                <w:highlight w:val="none"/>
              </w:rPr>
              <w:t>实施方案涵盖上述所有内容，方案较完整，基本涵盖采购需求的所有内容，基本合理，基本满足采购需求的，得</w:t>
            </w:r>
            <w:r>
              <w:rPr>
                <w:rFonts w:hint="eastAsia" w:ascii="宋体" w:hAnsi="宋体" w:cs="宋体"/>
                <w:i w:val="0"/>
                <w:iCs w:val="0"/>
                <w:color w:val="auto"/>
                <w:szCs w:val="21"/>
                <w:highlight w:val="none"/>
                <w:lang w:val="en-US" w:eastAsia="zh-CN"/>
              </w:rPr>
              <w:t>10</w:t>
            </w:r>
            <w:r>
              <w:rPr>
                <w:rFonts w:hint="eastAsia" w:ascii="宋体" w:hAnsi="宋体" w:cs="宋体"/>
                <w:i w:val="0"/>
                <w:iCs w:val="0"/>
                <w:color w:val="auto"/>
                <w:szCs w:val="21"/>
                <w:highlight w:val="none"/>
              </w:rPr>
              <w:t>分；</w:t>
            </w:r>
          </w:p>
          <w:p w14:paraId="412CA7D3">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4、</w:t>
            </w:r>
            <w:r>
              <w:rPr>
                <w:rFonts w:hint="eastAsia" w:ascii="宋体" w:hAnsi="宋体" w:cs="宋体"/>
                <w:i w:val="0"/>
                <w:iCs w:val="0"/>
                <w:color w:val="auto"/>
                <w:szCs w:val="21"/>
                <w:highlight w:val="none"/>
              </w:rPr>
              <w:t>实施方案未涵盖上述所有内容，方案不够完整，未涵盖采购需求的所有内容，不够合理，不够满足采购需求的，得</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p w14:paraId="675F0CDC">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注：无相关方案的，不得分。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i w:val="0"/>
                <w:iCs w:val="0"/>
                <w:color w:val="auto"/>
                <w:szCs w:val="21"/>
                <w:highlight w:val="none"/>
              </w:rPr>
            </w:pPr>
          </w:p>
        </w:tc>
        <w:tc>
          <w:tcPr>
            <w:tcW w:w="1836" w:type="dxa"/>
            <w:noWrap/>
            <w:vAlign w:val="center"/>
          </w:tcPr>
          <w:p w14:paraId="7CB6B730">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应急处置方案 (</w:t>
            </w:r>
            <w:r>
              <w:rPr>
                <w:rFonts w:hint="eastAsia" w:ascii="宋体" w:hAnsi="宋体" w:cs="宋体"/>
                <w:i w:val="0"/>
                <w:iCs w:val="0"/>
                <w:color w:val="auto"/>
                <w:szCs w:val="21"/>
                <w:highlight w:val="none"/>
                <w:lang w:val="en-US" w:eastAsia="zh-CN"/>
              </w:rPr>
              <w:t>25</w:t>
            </w:r>
            <w:r>
              <w:rPr>
                <w:rFonts w:hint="eastAsia" w:ascii="宋体" w:hAnsi="宋体" w:cs="宋体"/>
                <w:i w:val="0"/>
                <w:iCs w:val="0"/>
                <w:color w:val="auto"/>
                <w:szCs w:val="21"/>
                <w:highlight w:val="none"/>
              </w:rPr>
              <w:t>分)</w:t>
            </w:r>
          </w:p>
        </w:tc>
        <w:tc>
          <w:tcPr>
            <w:tcW w:w="5750" w:type="dxa"/>
            <w:noWrap/>
          </w:tcPr>
          <w:p w14:paraId="69878A2C">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根据供应商所提供的应急预案进行横向比较，分档评分：</w:t>
            </w:r>
          </w:p>
          <w:p w14:paraId="7E8000A2">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w:t>
            </w:r>
            <w:r>
              <w:rPr>
                <w:rFonts w:hint="eastAsia" w:ascii="宋体" w:hAnsi="宋体" w:cs="宋体"/>
                <w:i w:val="0"/>
                <w:iCs w:val="0"/>
                <w:color w:val="auto"/>
                <w:szCs w:val="21"/>
                <w:highlight w:val="none"/>
                <w:lang w:eastAsia="zh-CN"/>
              </w:rPr>
              <w:t>、</w:t>
            </w:r>
            <w:r>
              <w:rPr>
                <w:rFonts w:hint="eastAsia" w:ascii="宋体" w:hAnsi="宋体" w:cs="宋体"/>
                <w:i w:val="0"/>
                <w:iCs w:val="0"/>
                <w:color w:val="auto"/>
                <w:szCs w:val="21"/>
                <w:highlight w:val="none"/>
              </w:rPr>
              <w:t>服务应急方案详细且合理，完全满足要求，得</w:t>
            </w:r>
            <w:r>
              <w:rPr>
                <w:rFonts w:hint="eastAsia" w:ascii="宋体" w:hAnsi="宋体" w:cs="宋体"/>
                <w:i w:val="0"/>
                <w:iCs w:val="0"/>
                <w:color w:val="auto"/>
                <w:szCs w:val="21"/>
                <w:highlight w:val="none"/>
                <w:lang w:val="en-US" w:eastAsia="zh-CN"/>
              </w:rPr>
              <w:t>25</w:t>
            </w:r>
            <w:r>
              <w:rPr>
                <w:rFonts w:hint="eastAsia" w:ascii="宋体" w:hAnsi="宋体" w:cs="宋体"/>
                <w:i w:val="0"/>
                <w:iCs w:val="0"/>
                <w:color w:val="auto"/>
                <w:szCs w:val="21"/>
                <w:highlight w:val="none"/>
              </w:rPr>
              <w:t>分；</w:t>
            </w:r>
          </w:p>
          <w:p w14:paraId="0A462D58">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2</w:t>
            </w:r>
            <w:r>
              <w:rPr>
                <w:rFonts w:hint="eastAsia" w:ascii="宋体" w:hAnsi="宋体" w:cs="宋体"/>
                <w:i w:val="0"/>
                <w:iCs w:val="0"/>
                <w:color w:val="auto"/>
                <w:kern w:val="2"/>
                <w:sz w:val="24"/>
                <w:szCs w:val="21"/>
                <w:highlight w:val="none"/>
                <w:lang w:val="en-US" w:eastAsia="zh-CN" w:bidi="ar-SA"/>
              </w:rPr>
              <w:t>、</w:t>
            </w:r>
            <w:r>
              <w:rPr>
                <w:rFonts w:hint="eastAsia" w:ascii="宋体" w:hAnsi="宋体" w:cs="宋体"/>
                <w:i w:val="0"/>
                <w:iCs w:val="0"/>
                <w:color w:val="auto"/>
                <w:szCs w:val="21"/>
                <w:highlight w:val="none"/>
              </w:rPr>
              <w:t>服务应急方案较合理，能满足要求，得</w:t>
            </w:r>
            <w:r>
              <w:rPr>
                <w:rFonts w:hint="eastAsia" w:ascii="宋体" w:hAnsi="宋体" w:cs="宋体"/>
                <w:i w:val="0"/>
                <w:iCs w:val="0"/>
                <w:color w:val="auto"/>
                <w:szCs w:val="21"/>
                <w:highlight w:val="none"/>
                <w:lang w:val="en-US" w:eastAsia="zh-CN"/>
              </w:rPr>
              <w:t>20</w:t>
            </w:r>
            <w:r>
              <w:rPr>
                <w:rFonts w:hint="eastAsia" w:ascii="宋体" w:hAnsi="宋体" w:cs="宋体"/>
                <w:i w:val="0"/>
                <w:iCs w:val="0"/>
                <w:color w:val="auto"/>
                <w:szCs w:val="21"/>
                <w:highlight w:val="none"/>
              </w:rPr>
              <w:t>分；</w:t>
            </w:r>
          </w:p>
          <w:p w14:paraId="0DE52862">
            <w:pPr>
              <w:numPr>
                <w:ilvl w:val="0"/>
                <w:numId w:val="0"/>
              </w:numPr>
              <w:spacing w:line="360" w:lineRule="auto"/>
              <w:rPr>
                <w:rFonts w:ascii="宋体" w:hAnsi="宋体" w:cs="宋体"/>
                <w:i w:val="0"/>
                <w:iCs w:val="0"/>
                <w:color w:val="auto"/>
                <w:szCs w:val="21"/>
                <w:highlight w:val="none"/>
              </w:rPr>
            </w:pPr>
            <w:r>
              <w:rPr>
                <w:rFonts w:ascii="宋体" w:hAnsi="宋体" w:eastAsia="宋体" w:cs="宋体"/>
                <w:i w:val="0"/>
                <w:iCs w:val="0"/>
                <w:color w:val="auto"/>
                <w:kern w:val="2"/>
                <w:sz w:val="24"/>
                <w:szCs w:val="21"/>
                <w:highlight w:val="none"/>
                <w:lang w:val="en-US" w:eastAsia="zh-CN" w:bidi="ar-SA"/>
              </w:rPr>
              <w:t>3</w:t>
            </w:r>
            <w:r>
              <w:rPr>
                <w:rFonts w:hint="eastAsia" w:ascii="宋体" w:hAnsi="宋体" w:cs="宋体"/>
                <w:i w:val="0"/>
                <w:iCs w:val="0"/>
                <w:color w:val="auto"/>
                <w:kern w:val="2"/>
                <w:sz w:val="24"/>
                <w:szCs w:val="21"/>
                <w:highlight w:val="none"/>
                <w:lang w:val="en-US" w:eastAsia="zh-CN" w:bidi="ar-SA"/>
              </w:rPr>
              <w:t>、</w:t>
            </w:r>
            <w:r>
              <w:rPr>
                <w:rFonts w:hint="eastAsia" w:ascii="宋体" w:hAnsi="宋体" w:cs="宋体"/>
                <w:i w:val="0"/>
                <w:iCs w:val="0"/>
                <w:color w:val="auto"/>
                <w:szCs w:val="21"/>
                <w:highlight w:val="none"/>
              </w:rPr>
              <w:t>服务应急方案有缺陷，能基本满足要求，得</w:t>
            </w:r>
            <w:r>
              <w:rPr>
                <w:rFonts w:hint="eastAsia" w:ascii="宋体" w:hAnsi="宋体" w:cs="宋体"/>
                <w:i w:val="0"/>
                <w:iCs w:val="0"/>
                <w:color w:val="auto"/>
                <w:szCs w:val="21"/>
                <w:highlight w:val="none"/>
                <w:lang w:val="en-US" w:eastAsia="zh-CN"/>
              </w:rPr>
              <w:t>10</w:t>
            </w:r>
            <w:r>
              <w:rPr>
                <w:rFonts w:hint="eastAsia" w:ascii="宋体" w:hAnsi="宋体" w:cs="宋体"/>
                <w:i w:val="0"/>
                <w:iCs w:val="0"/>
                <w:color w:val="auto"/>
                <w:szCs w:val="21"/>
                <w:highlight w:val="none"/>
              </w:rPr>
              <w:t>分；</w:t>
            </w:r>
          </w:p>
          <w:p w14:paraId="152F0276">
            <w:pPr>
              <w:numPr>
                <w:ilvl w:val="0"/>
                <w:numId w:val="0"/>
              </w:numPr>
              <w:spacing w:line="360" w:lineRule="auto"/>
              <w:ind w:left="0" w:leftChars="0" w:firstLine="0" w:firstLineChars="0"/>
              <w:rPr>
                <w:rFonts w:hint="eastAsia" w:ascii="宋体" w:hAnsi="宋体" w:cs="宋体"/>
                <w:i w:val="0"/>
                <w:iCs w:val="0"/>
                <w:color w:val="auto"/>
                <w:szCs w:val="21"/>
                <w:highlight w:val="none"/>
              </w:rPr>
            </w:pPr>
            <w:r>
              <w:rPr>
                <w:rFonts w:hint="eastAsia" w:ascii="宋体" w:hAnsi="宋体" w:eastAsia="宋体" w:cs="宋体"/>
                <w:i w:val="0"/>
                <w:iCs w:val="0"/>
                <w:color w:val="auto"/>
                <w:kern w:val="2"/>
                <w:sz w:val="24"/>
                <w:szCs w:val="21"/>
                <w:highlight w:val="none"/>
                <w:lang w:val="en-US" w:eastAsia="zh-CN" w:bidi="ar-SA"/>
              </w:rPr>
              <w:t>4</w:t>
            </w:r>
            <w:r>
              <w:rPr>
                <w:rFonts w:hint="eastAsia" w:ascii="宋体" w:hAnsi="宋体" w:cs="宋体"/>
                <w:i w:val="0"/>
                <w:iCs w:val="0"/>
                <w:color w:val="auto"/>
                <w:kern w:val="2"/>
                <w:sz w:val="24"/>
                <w:szCs w:val="21"/>
                <w:highlight w:val="none"/>
                <w:lang w:val="en-US" w:eastAsia="zh-CN" w:bidi="ar-SA"/>
              </w:rPr>
              <w:t>、</w:t>
            </w:r>
            <w:r>
              <w:rPr>
                <w:rFonts w:hint="eastAsia" w:ascii="宋体" w:hAnsi="宋体" w:cs="宋体"/>
                <w:i w:val="0"/>
                <w:iCs w:val="0"/>
                <w:color w:val="auto"/>
                <w:szCs w:val="21"/>
                <w:highlight w:val="none"/>
              </w:rPr>
              <w:t>服务应急方案不合理，得</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p w14:paraId="7CAE3480">
            <w:pPr>
              <w:numPr>
                <w:ilvl w:val="0"/>
                <w:numId w:val="0"/>
              </w:numPr>
              <w:spacing w:line="360" w:lineRule="auto"/>
              <w:ind w:leftChars="0"/>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注：无相关方案的，不得分。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25D20DF6">
            <w:pPr>
              <w:spacing w:line="360" w:lineRule="auto"/>
              <w:jc w:val="center"/>
              <w:rPr>
                <w:rFonts w:ascii="宋体" w:hAnsi="宋体" w:cs="宋体"/>
                <w:i w:val="0"/>
                <w:iCs w:val="0"/>
                <w:color w:val="auto"/>
                <w:szCs w:val="21"/>
                <w:highlight w:val="none"/>
              </w:rPr>
            </w:pPr>
          </w:p>
        </w:tc>
        <w:tc>
          <w:tcPr>
            <w:tcW w:w="1836" w:type="dxa"/>
            <w:noWrap/>
            <w:vAlign w:val="center"/>
          </w:tcPr>
          <w:p w14:paraId="6A428AAD">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同类项目业绩</w:t>
            </w:r>
          </w:p>
          <w:p w14:paraId="4F5CCC31">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w:t>
            </w:r>
            <w:r>
              <w:rPr>
                <w:rFonts w:hint="eastAsia" w:ascii="宋体" w:hAnsi="宋体" w:cs="宋体"/>
                <w:i w:val="0"/>
                <w:iCs w:val="0"/>
                <w:color w:val="auto"/>
                <w:szCs w:val="21"/>
                <w:highlight w:val="none"/>
                <w:lang w:val="en-US" w:eastAsia="zh-CN"/>
              </w:rPr>
              <w:t>30</w:t>
            </w:r>
            <w:r>
              <w:rPr>
                <w:rFonts w:hint="eastAsia" w:ascii="宋体" w:hAnsi="宋体" w:cs="宋体"/>
                <w:i w:val="0"/>
                <w:iCs w:val="0"/>
                <w:color w:val="auto"/>
                <w:szCs w:val="21"/>
                <w:highlight w:val="none"/>
              </w:rPr>
              <w:t>分)</w:t>
            </w:r>
          </w:p>
        </w:tc>
        <w:tc>
          <w:tcPr>
            <w:tcW w:w="5750" w:type="dxa"/>
            <w:noWrap/>
          </w:tcPr>
          <w:p w14:paraId="68EF365D">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供应商自2023年1月1日以来（以合同生效时间为准）承接过的同类项目业绩合同，每提供一个同类项目合同得</w:t>
            </w:r>
            <w:r>
              <w:rPr>
                <w:rFonts w:hint="eastAsia" w:ascii="宋体" w:hAnsi="宋体" w:cs="宋体"/>
                <w:i w:val="0"/>
                <w:iCs w:val="0"/>
                <w:color w:val="auto"/>
                <w:szCs w:val="21"/>
                <w:highlight w:val="none"/>
                <w:lang w:val="en-US" w:eastAsia="zh-CN"/>
              </w:rPr>
              <w:t>6</w:t>
            </w:r>
            <w:r>
              <w:rPr>
                <w:rFonts w:hint="eastAsia" w:ascii="宋体" w:hAnsi="宋体" w:cs="宋体"/>
                <w:i w:val="0"/>
                <w:iCs w:val="0"/>
                <w:color w:val="auto"/>
                <w:szCs w:val="21"/>
                <w:highlight w:val="none"/>
              </w:rPr>
              <w:t>分；本项最高得</w:t>
            </w:r>
            <w:r>
              <w:rPr>
                <w:rFonts w:hint="eastAsia" w:ascii="宋体" w:hAnsi="宋体" w:cs="宋体"/>
                <w:i w:val="0"/>
                <w:iCs w:val="0"/>
                <w:color w:val="auto"/>
                <w:szCs w:val="21"/>
                <w:highlight w:val="none"/>
                <w:lang w:val="en-US" w:eastAsia="zh-CN"/>
              </w:rPr>
              <w:t>30</w:t>
            </w:r>
            <w:r>
              <w:rPr>
                <w:rFonts w:hint="eastAsia" w:ascii="宋体" w:hAnsi="宋体" w:cs="宋体"/>
                <w:i w:val="0"/>
                <w:iCs w:val="0"/>
                <w:color w:val="auto"/>
                <w:szCs w:val="21"/>
                <w:highlight w:val="none"/>
              </w:rPr>
              <w:t>分。</w:t>
            </w:r>
          </w:p>
          <w:p w14:paraId="07205AB1">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注：同一项目不同年份的合同按一份计算，不重复计算分数。同一业主续签不重复计分。须提供合同复印件，并加盖公章。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7950CE1B">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价格部分</w:t>
            </w:r>
          </w:p>
          <w:p w14:paraId="001ED6C5">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（1</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tc>
        <w:tc>
          <w:tcPr>
            <w:tcW w:w="1836" w:type="dxa"/>
            <w:noWrap/>
            <w:vAlign w:val="center"/>
          </w:tcPr>
          <w:p w14:paraId="14B1BC68">
            <w:pPr>
              <w:spacing w:line="360" w:lineRule="auto"/>
              <w:jc w:val="center"/>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报价得分</w:t>
            </w:r>
          </w:p>
          <w:p w14:paraId="113F52E1">
            <w:pPr>
              <w:spacing w:line="360" w:lineRule="auto"/>
              <w:jc w:val="center"/>
              <w:rPr>
                <w:rFonts w:ascii="宋体" w:hAnsi="宋体" w:cs="宋体"/>
                <w:i w:val="0"/>
                <w:iCs w:val="0"/>
                <w:color w:val="auto"/>
                <w:szCs w:val="21"/>
                <w:highlight w:val="none"/>
              </w:rPr>
            </w:pPr>
            <w:r>
              <w:rPr>
                <w:rFonts w:hint="eastAsia" w:ascii="宋体" w:hAnsi="宋体" w:cs="宋体"/>
                <w:i w:val="0"/>
                <w:iCs w:val="0"/>
                <w:color w:val="auto"/>
                <w:szCs w:val="21"/>
                <w:highlight w:val="none"/>
              </w:rPr>
              <w:t>(1</w:t>
            </w:r>
            <w:r>
              <w:rPr>
                <w:rFonts w:hint="eastAsia" w:ascii="宋体" w:hAnsi="宋体" w:cs="宋体"/>
                <w:i w:val="0"/>
                <w:iCs w:val="0"/>
                <w:color w:val="auto"/>
                <w:szCs w:val="21"/>
                <w:highlight w:val="none"/>
                <w:lang w:val="en-US" w:eastAsia="zh-CN"/>
              </w:rPr>
              <w:t>5</w:t>
            </w:r>
            <w:r>
              <w:rPr>
                <w:rFonts w:hint="eastAsia" w:ascii="宋体" w:hAnsi="宋体" w:cs="宋体"/>
                <w:i w:val="0"/>
                <w:iCs w:val="0"/>
                <w:color w:val="auto"/>
                <w:szCs w:val="21"/>
                <w:highlight w:val="none"/>
              </w:rPr>
              <w:t>分)</w:t>
            </w:r>
          </w:p>
        </w:tc>
        <w:tc>
          <w:tcPr>
            <w:tcW w:w="5750" w:type="dxa"/>
            <w:noWrap/>
          </w:tcPr>
          <w:p w14:paraId="30D08073">
            <w:pPr>
              <w:spacing w:line="360" w:lineRule="auto"/>
              <w:rPr>
                <w:rFonts w:hint="default" w:ascii="宋体" w:hAnsi="宋体" w:eastAsia="宋体" w:cs="宋体"/>
                <w:i w:val="0"/>
                <w:iCs w:val="0"/>
                <w:color w:val="auto"/>
                <w:szCs w:val="21"/>
                <w:highlight w:val="none"/>
                <w:lang w:val="en-US" w:eastAsia="zh-CN"/>
              </w:rPr>
            </w:pPr>
            <w:r>
              <w:rPr>
                <w:rFonts w:hint="eastAsia" w:ascii="宋体" w:hAnsi="宋体" w:cs="宋体"/>
                <w:i w:val="0"/>
                <w:iCs w:val="0"/>
                <w:color w:val="auto"/>
                <w:szCs w:val="21"/>
                <w:highlight w:val="none"/>
              </w:rPr>
              <w:t>投标报价得分＝（评标基准价/总报价）×价格分值</w:t>
            </w:r>
            <w:r>
              <w:rPr>
                <w:rFonts w:hint="eastAsia" w:ascii="宋体" w:hAnsi="宋体" w:cs="宋体"/>
                <w:i w:val="0"/>
                <w:iCs w:val="0"/>
                <w:color w:val="auto"/>
                <w:szCs w:val="21"/>
                <w:highlight w:val="none"/>
                <w:lang w:eastAsia="zh-CN"/>
              </w:rPr>
              <w:t>（</w:t>
            </w:r>
            <w:r>
              <w:rPr>
                <w:rFonts w:hint="eastAsia" w:ascii="宋体" w:hAnsi="宋体" w:cs="宋体"/>
                <w:i w:val="0"/>
                <w:iCs w:val="0"/>
                <w:color w:val="auto"/>
                <w:szCs w:val="21"/>
                <w:highlight w:val="none"/>
                <w:lang w:val="en-US" w:eastAsia="zh-CN"/>
              </w:rPr>
              <w:t>15）</w:t>
            </w:r>
          </w:p>
          <w:p w14:paraId="638D75E0">
            <w:pPr>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【注：满足要求且价格最低的总报价为评标基准价。】最低报价不是</w:t>
            </w:r>
            <w:r>
              <w:rPr>
                <w:rFonts w:hint="eastAsia" w:ascii="宋体" w:hAnsi="宋体" w:cs="宋体"/>
                <w:i w:val="0"/>
                <w:iCs w:val="0"/>
                <w:color w:val="auto"/>
                <w:szCs w:val="21"/>
                <w:highlight w:val="none"/>
                <w:lang w:eastAsia="zh-CN"/>
              </w:rPr>
              <w:t>成交</w:t>
            </w:r>
            <w:r>
              <w:rPr>
                <w:rFonts w:hint="eastAsia" w:ascii="宋体" w:hAnsi="宋体" w:cs="宋体"/>
                <w:i w:val="0"/>
                <w:iCs w:val="0"/>
                <w:color w:val="auto"/>
                <w:szCs w:val="21"/>
                <w:highlight w:val="none"/>
              </w:rPr>
              <w:t>的唯一依据。</w:t>
            </w:r>
          </w:p>
        </w:tc>
      </w:tr>
    </w:tbl>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right="0"/>
        <w:rPr>
          <w:rFonts w:hint="eastAsia" w:ascii="微软雅黑" w:hAnsi="微软雅黑" w:eastAsia="微软雅黑" w:cs="微软雅黑"/>
          <w:i w:val="0"/>
          <w:iCs w:val="0"/>
          <w:caps w:val="0"/>
          <w:color w:val="auto"/>
          <w:spacing w:val="0"/>
          <w:sz w:val="24"/>
          <w:szCs w:val="24"/>
          <w:highlight w:val="none"/>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C764">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225B9">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3225B9">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314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2FF69"/>
    <w:multiLevelType w:val="singleLevel"/>
    <w:tmpl w:val="B0A2FF69"/>
    <w:lvl w:ilvl="0" w:tentative="0">
      <w:start w:val="5"/>
      <w:numFmt w:val="chineseCounting"/>
      <w:suff w:val="nothing"/>
      <w:lvlText w:val="%1、"/>
      <w:lvlJc w:val="left"/>
      <w:rPr>
        <w:rFonts w:hint="eastAsia"/>
      </w:rPr>
    </w:lvl>
  </w:abstractNum>
  <w:abstractNum w:abstractNumId="1">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788911"/>
    <w:multiLevelType w:val="singleLevel"/>
    <w:tmpl w:val="1678891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2996B62"/>
    <w:rsid w:val="04270380"/>
    <w:rsid w:val="09AE6AAA"/>
    <w:rsid w:val="108C1CE9"/>
    <w:rsid w:val="12C11A50"/>
    <w:rsid w:val="12D74E3A"/>
    <w:rsid w:val="151A7A69"/>
    <w:rsid w:val="16C20978"/>
    <w:rsid w:val="1EC341D8"/>
    <w:rsid w:val="21AC6893"/>
    <w:rsid w:val="21F71A28"/>
    <w:rsid w:val="275072F5"/>
    <w:rsid w:val="2C9470BA"/>
    <w:rsid w:val="33557238"/>
    <w:rsid w:val="3DBF0FE8"/>
    <w:rsid w:val="45126BE9"/>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3900</Words>
  <Characters>3990</Characters>
  <Lines>0</Lines>
  <Paragraphs>0</Paragraphs>
  <TotalTime>68</TotalTime>
  <ScaleCrop>false</ScaleCrop>
  <LinksUpToDate>false</LinksUpToDate>
  <CharactersWithSpaces>4007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2026-01-26T02:36:35Z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eyJoZGlkIjoiZTQwMDljYjg2ODM2NzFkZmFmOTU3ZGI4OWYyOTY3M2QiLCJ1c2VySWQiOiI2NDkzNjEyODAifQ==</vt:lpwstr>
  </property>
</Properties>
</file>