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E5FD8">
      <w:pPr>
        <w:jc w:val="center"/>
        <w:rPr>
          <w:rFonts w:hint="eastAsia" w:ascii="方正公文小标宋" w:hAnsi="方正公文小标宋" w:eastAsia="方正公文小标宋" w:cs="方正公文小标宋"/>
          <w:b w:val="0"/>
          <w:bCs w:val="0"/>
          <w:sz w:val="44"/>
          <w:szCs w:val="52"/>
          <w:lang w:val="en-US" w:eastAsia="zh-CN"/>
        </w:rPr>
      </w:pPr>
      <w:r>
        <w:rPr>
          <w:rFonts w:hint="eastAsia" w:ascii="方正公文小标宋" w:hAnsi="方正公文小标宋" w:eastAsia="方正公文小标宋" w:cs="方正公文小标宋"/>
          <w:b w:val="0"/>
          <w:bCs w:val="0"/>
          <w:sz w:val="44"/>
          <w:szCs w:val="52"/>
          <w:lang w:val="en-US" w:eastAsia="zh-CN"/>
        </w:rPr>
        <w:t>调研需求</w:t>
      </w:r>
    </w:p>
    <w:p w14:paraId="6D20E403">
      <w:pPr>
        <w:jc w:val="center"/>
        <w:rPr>
          <w:rFonts w:hint="eastAsia" w:ascii="方正公文小标宋" w:hAnsi="方正公文小标宋" w:eastAsia="方正公文小标宋" w:cs="方正公文小标宋"/>
          <w:b/>
          <w:bCs/>
          <w:sz w:val="36"/>
          <w:szCs w:val="44"/>
          <w:lang w:val="en-US" w:eastAsia="zh-CN"/>
        </w:rPr>
      </w:pPr>
    </w:p>
    <w:p w14:paraId="5B2FFE75">
      <w:pPr>
        <w:numPr>
          <w:ilvl w:val="0"/>
          <w:numId w:val="1"/>
        </w:numPr>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本调研项目需求一览表：</w:t>
      </w:r>
    </w:p>
    <w:tbl>
      <w:tblPr>
        <w:tblStyle w:val="6"/>
        <w:tblW w:w="8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8"/>
        <w:gridCol w:w="1800"/>
        <w:gridCol w:w="1163"/>
        <w:gridCol w:w="2250"/>
        <w:gridCol w:w="2466"/>
      </w:tblGrid>
      <w:tr w14:paraId="70CEC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198" w:type="dxa"/>
            <w:vAlign w:val="center"/>
          </w:tcPr>
          <w:p w14:paraId="55ED32CC">
            <w:pPr>
              <w:pStyle w:val="5"/>
              <w:spacing w:before="242" w:line="221" w:lineRule="auto"/>
              <w:jc w:val="center"/>
              <w:rPr>
                <w:rFonts w:hint="eastAsia" w:ascii="仿宋" w:hAnsi="仿宋" w:eastAsia="仿宋" w:cs="仿宋"/>
              </w:rPr>
            </w:pPr>
            <w:r>
              <w:rPr>
                <w:rFonts w:hint="eastAsia" w:ascii="仿宋" w:hAnsi="仿宋" w:eastAsia="仿宋" w:cs="仿宋"/>
                <w:b/>
                <w:bCs/>
                <w:spacing w:val="-6"/>
              </w:rPr>
              <w:t>用户单位</w:t>
            </w:r>
          </w:p>
        </w:tc>
        <w:tc>
          <w:tcPr>
            <w:tcW w:w="1800" w:type="dxa"/>
            <w:vAlign w:val="center"/>
          </w:tcPr>
          <w:p w14:paraId="2D144376">
            <w:pPr>
              <w:pStyle w:val="5"/>
              <w:spacing w:before="242" w:line="221" w:lineRule="auto"/>
              <w:jc w:val="center"/>
              <w:rPr>
                <w:rFonts w:hint="eastAsia" w:ascii="仿宋" w:hAnsi="仿宋" w:eastAsia="仿宋" w:cs="仿宋"/>
              </w:rPr>
            </w:pPr>
            <w:r>
              <w:rPr>
                <w:rFonts w:hint="eastAsia" w:cs="仿宋"/>
                <w:b/>
                <w:bCs/>
                <w:spacing w:val="-7"/>
                <w:lang w:val="en-US" w:eastAsia="zh-CN"/>
              </w:rPr>
              <w:t>项目</w:t>
            </w:r>
            <w:r>
              <w:rPr>
                <w:rFonts w:hint="eastAsia" w:ascii="仿宋" w:hAnsi="仿宋" w:eastAsia="仿宋" w:cs="仿宋"/>
                <w:b/>
                <w:bCs/>
                <w:spacing w:val="-7"/>
              </w:rPr>
              <w:t>名称</w:t>
            </w:r>
          </w:p>
        </w:tc>
        <w:tc>
          <w:tcPr>
            <w:tcW w:w="1163" w:type="dxa"/>
            <w:vAlign w:val="center"/>
          </w:tcPr>
          <w:p w14:paraId="3EE8410B">
            <w:pPr>
              <w:pStyle w:val="5"/>
              <w:spacing w:before="61" w:line="251" w:lineRule="auto"/>
              <w:ind w:right="135"/>
              <w:jc w:val="center"/>
              <w:rPr>
                <w:rFonts w:hint="eastAsia" w:ascii="仿宋" w:hAnsi="仿宋" w:eastAsia="仿宋" w:cs="仿宋"/>
              </w:rPr>
            </w:pPr>
            <w:r>
              <w:rPr>
                <w:rFonts w:hint="eastAsia" w:ascii="仿宋" w:hAnsi="仿宋" w:eastAsia="仿宋" w:cs="仿宋"/>
                <w:b/>
                <w:bCs/>
                <w:spacing w:val="-11"/>
              </w:rPr>
              <w:t>数量</w:t>
            </w:r>
            <w:r>
              <w:rPr>
                <w:rFonts w:hint="eastAsia" w:ascii="仿宋" w:hAnsi="仿宋" w:eastAsia="仿宋" w:cs="仿宋"/>
                <w:b/>
                <w:bCs/>
                <w:spacing w:val="-16"/>
              </w:rPr>
              <w:t>（份）</w:t>
            </w:r>
          </w:p>
        </w:tc>
        <w:tc>
          <w:tcPr>
            <w:tcW w:w="2250" w:type="dxa"/>
            <w:vAlign w:val="center"/>
          </w:tcPr>
          <w:p w14:paraId="787E3E50">
            <w:pPr>
              <w:pStyle w:val="5"/>
              <w:spacing w:before="61" w:line="251" w:lineRule="auto"/>
              <w:ind w:left="360" w:leftChars="0" w:right="222" w:rightChars="0" w:hanging="118" w:firstLineChars="0"/>
              <w:jc w:val="center"/>
              <w:rPr>
                <w:rFonts w:hint="eastAsia" w:ascii="仿宋" w:hAnsi="仿宋" w:eastAsia="仿宋" w:cs="仿宋"/>
              </w:rPr>
            </w:pPr>
            <w:r>
              <w:rPr>
                <w:rFonts w:hint="eastAsia" w:cs="仿宋"/>
                <w:b/>
                <w:bCs/>
                <w:spacing w:val="-8"/>
                <w:lang w:eastAsia="zh-CN"/>
              </w:rPr>
              <w:t>结算单价</w:t>
            </w:r>
          </w:p>
        </w:tc>
        <w:tc>
          <w:tcPr>
            <w:tcW w:w="2466" w:type="dxa"/>
            <w:vAlign w:val="center"/>
          </w:tcPr>
          <w:p w14:paraId="6B28D194">
            <w:pPr>
              <w:pStyle w:val="5"/>
              <w:spacing w:before="61" w:line="251" w:lineRule="auto"/>
              <w:ind w:left="0" w:leftChars="0" w:right="222" w:rightChars="0" w:firstLine="0" w:firstLineChars="0"/>
              <w:jc w:val="center"/>
              <w:rPr>
                <w:rFonts w:hint="eastAsia" w:ascii="仿宋" w:hAnsi="仿宋" w:eastAsia="仿宋" w:cs="仿宋"/>
              </w:rPr>
            </w:pPr>
            <w:r>
              <w:rPr>
                <w:rFonts w:hint="eastAsia" w:cs="仿宋"/>
                <w:b/>
                <w:bCs/>
                <w:spacing w:val="-8"/>
                <w:lang w:eastAsia="zh-CN"/>
              </w:rPr>
              <w:t>产品价值</w:t>
            </w:r>
          </w:p>
        </w:tc>
      </w:tr>
      <w:tr w14:paraId="543C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198" w:type="dxa"/>
            <w:vAlign w:val="center"/>
          </w:tcPr>
          <w:p w14:paraId="305FA670">
            <w:pPr>
              <w:pStyle w:val="5"/>
              <w:spacing w:before="241" w:line="265" w:lineRule="auto"/>
              <w:ind w:left="127" w:right="106" w:firstLine="23"/>
              <w:jc w:val="center"/>
              <w:rPr>
                <w:rFonts w:hint="default" w:ascii="仿宋" w:hAnsi="仿宋" w:eastAsia="仿宋" w:cs="仿宋"/>
                <w:lang w:val="en-US" w:eastAsia="zh-CN"/>
              </w:rPr>
            </w:pPr>
            <w:r>
              <w:rPr>
                <w:rFonts w:hint="eastAsia" w:ascii="仿宋" w:hAnsi="仿宋" w:eastAsia="仿宋" w:cs="仿宋"/>
                <w:spacing w:val="2"/>
              </w:rPr>
              <w:t>中山市</w:t>
            </w:r>
            <w:r>
              <w:rPr>
                <w:rFonts w:hint="eastAsia" w:ascii="仿宋" w:hAnsi="仿宋" w:eastAsia="仿宋" w:cs="仿宋"/>
                <w:spacing w:val="2"/>
                <w:lang w:val="en-US" w:eastAsia="zh-CN"/>
              </w:rPr>
              <w:t>口腔</w:t>
            </w:r>
            <w:r>
              <w:rPr>
                <w:rFonts w:hint="eastAsia" w:ascii="仿宋" w:hAnsi="仿宋" w:eastAsia="仿宋" w:cs="仿宋"/>
                <w:spacing w:val="2"/>
              </w:rPr>
              <w:t>医院</w:t>
            </w:r>
            <w:r>
              <w:rPr>
                <w:rFonts w:hint="eastAsia" w:cs="仿宋"/>
                <w:spacing w:val="2"/>
                <w:lang w:val="en-US" w:eastAsia="zh-CN"/>
              </w:rPr>
              <w:t>工会委员会</w:t>
            </w:r>
          </w:p>
        </w:tc>
        <w:tc>
          <w:tcPr>
            <w:tcW w:w="1800" w:type="dxa"/>
            <w:vAlign w:val="center"/>
          </w:tcPr>
          <w:p w14:paraId="7E761EC1">
            <w:pPr>
              <w:pStyle w:val="5"/>
              <w:spacing w:before="63" w:line="259" w:lineRule="auto"/>
              <w:ind w:left="119" w:right="106" w:firstLine="31"/>
              <w:jc w:val="center"/>
              <w:rPr>
                <w:rFonts w:hint="eastAsia" w:ascii="仿宋" w:hAnsi="仿宋" w:eastAsia="仿宋" w:cs="仿宋"/>
              </w:rPr>
            </w:pPr>
            <w:r>
              <w:rPr>
                <w:rFonts w:hint="eastAsia" w:ascii="仿宋" w:hAnsi="仿宋" w:eastAsia="仿宋" w:cs="仿宋"/>
                <w:spacing w:val="13"/>
              </w:rPr>
              <w:t>中山市</w:t>
            </w:r>
            <w:r>
              <w:rPr>
                <w:rFonts w:hint="eastAsia" w:ascii="仿宋" w:hAnsi="仿宋" w:eastAsia="仿宋" w:cs="仿宋"/>
                <w:spacing w:val="13"/>
                <w:lang w:val="en-US" w:eastAsia="zh-CN"/>
              </w:rPr>
              <w:t>口腔</w:t>
            </w:r>
            <w:r>
              <w:rPr>
                <w:rFonts w:hint="eastAsia" w:ascii="仿宋" w:hAnsi="仿宋" w:eastAsia="仿宋" w:cs="仿宋"/>
                <w:spacing w:val="13"/>
              </w:rPr>
              <w:t>医院202</w:t>
            </w:r>
            <w:r>
              <w:rPr>
                <w:rFonts w:hint="eastAsia" w:cs="仿宋"/>
                <w:spacing w:val="13"/>
                <w:lang w:val="en-US" w:eastAsia="zh-CN"/>
              </w:rPr>
              <w:t>6</w:t>
            </w:r>
            <w:r>
              <w:rPr>
                <w:rFonts w:hint="eastAsia" w:ascii="仿宋" w:hAnsi="仿宋" w:eastAsia="仿宋" w:cs="仿宋"/>
                <w:spacing w:val="16"/>
              </w:rPr>
              <w:t>年</w:t>
            </w:r>
            <w:r>
              <w:rPr>
                <w:rFonts w:hint="eastAsia" w:cs="仿宋"/>
                <w:spacing w:val="16"/>
                <w:lang w:val="en-US" w:eastAsia="zh-CN"/>
              </w:rPr>
              <w:t>春节</w:t>
            </w:r>
            <w:r>
              <w:rPr>
                <w:rFonts w:hint="eastAsia" w:ascii="仿宋" w:hAnsi="仿宋" w:eastAsia="仿宋" w:cs="仿宋"/>
                <w:spacing w:val="16"/>
              </w:rPr>
              <w:t>慰问品采购</w:t>
            </w:r>
          </w:p>
        </w:tc>
        <w:tc>
          <w:tcPr>
            <w:tcW w:w="1163" w:type="dxa"/>
            <w:vAlign w:val="center"/>
          </w:tcPr>
          <w:p w14:paraId="0DFEF279">
            <w:pPr>
              <w:pStyle w:val="5"/>
              <w:spacing w:before="78" w:line="181" w:lineRule="auto"/>
              <w:jc w:val="center"/>
              <w:rPr>
                <w:rFonts w:hint="default" w:ascii="仿宋" w:hAnsi="仿宋" w:eastAsia="仿宋" w:cs="仿宋"/>
                <w:lang w:val="en-US" w:eastAsia="zh-CN"/>
              </w:rPr>
            </w:pPr>
            <w:r>
              <w:rPr>
                <w:rFonts w:hint="eastAsia" w:cs="仿宋"/>
                <w:lang w:val="en-US" w:eastAsia="zh-CN"/>
              </w:rPr>
              <w:t>约</w:t>
            </w:r>
            <w:r>
              <w:rPr>
                <w:rFonts w:hint="eastAsia" w:ascii="仿宋" w:hAnsi="仿宋" w:eastAsia="仿宋" w:cs="仿宋"/>
                <w:lang w:val="en-US" w:eastAsia="zh-CN"/>
              </w:rPr>
              <w:t>2</w:t>
            </w:r>
            <w:r>
              <w:rPr>
                <w:rFonts w:hint="eastAsia" w:cs="仿宋"/>
                <w:lang w:val="en-US" w:eastAsia="zh-CN"/>
              </w:rPr>
              <w:t>66（最终结算数量以实际发生数量为准）</w:t>
            </w:r>
          </w:p>
        </w:tc>
        <w:tc>
          <w:tcPr>
            <w:tcW w:w="2250" w:type="dxa"/>
            <w:vAlign w:val="center"/>
          </w:tcPr>
          <w:p w14:paraId="69500D29">
            <w:pPr>
              <w:jc w:val="center"/>
              <w:rPr>
                <w:rFonts w:hint="eastAsia" w:ascii="仿宋" w:hAnsi="仿宋" w:eastAsia="仿宋" w:cs="仿宋"/>
              </w:rPr>
            </w:pPr>
            <w:r>
              <w:rPr>
                <w:rFonts w:hint="eastAsia" w:ascii="仿宋" w:hAnsi="仿宋" w:eastAsia="仿宋" w:cs="仿宋"/>
                <w:sz w:val="21"/>
                <w:lang w:eastAsia="zh-CN"/>
              </w:rPr>
              <w:t>“</w:t>
            </w:r>
            <w:r>
              <w:rPr>
                <w:rFonts w:hint="eastAsia" w:ascii="仿宋" w:hAnsi="仿宋" w:eastAsia="仿宋" w:cs="仿宋"/>
                <w:sz w:val="21"/>
                <w:lang w:val="en-US" w:eastAsia="zh-CN"/>
              </w:rPr>
              <w:t>慰问品</w:t>
            </w:r>
            <w:r>
              <w:rPr>
                <w:rFonts w:hint="eastAsia" w:ascii="仿宋" w:hAnsi="仿宋" w:eastAsia="仿宋" w:cs="仿宋"/>
                <w:sz w:val="21"/>
                <w:lang w:eastAsia="zh-CN"/>
              </w:rPr>
              <w:t>固定套餐”的结算单价均为</w:t>
            </w:r>
            <w:r>
              <w:rPr>
                <w:rFonts w:hint="eastAsia" w:ascii="仿宋" w:hAnsi="仿宋" w:eastAsia="仿宋" w:cs="仿宋"/>
                <w:sz w:val="21"/>
                <w:lang w:val="en-US" w:eastAsia="zh-CN"/>
              </w:rPr>
              <w:t>300元/份，固定不变。</w:t>
            </w:r>
          </w:p>
        </w:tc>
        <w:tc>
          <w:tcPr>
            <w:tcW w:w="2466" w:type="dxa"/>
            <w:vAlign w:val="center"/>
          </w:tcPr>
          <w:p w14:paraId="78F7BBB5">
            <w:pPr>
              <w:pStyle w:val="5"/>
              <w:numPr>
                <w:ilvl w:val="0"/>
                <w:numId w:val="0"/>
              </w:numPr>
              <w:spacing w:before="78" w:line="180" w:lineRule="auto"/>
              <w:jc w:val="both"/>
              <w:rPr>
                <w:rFonts w:hint="eastAsia" w:ascii="仿宋" w:hAnsi="仿宋" w:eastAsia="仿宋" w:cs="仿宋"/>
              </w:rPr>
            </w:pPr>
            <w:r>
              <w:rPr>
                <w:rFonts w:hint="eastAsia" w:ascii="仿宋" w:hAnsi="仿宋" w:eastAsia="仿宋" w:cs="仿宋"/>
                <w:sz w:val="21"/>
                <w:lang w:eastAsia="zh-CN"/>
              </w:rPr>
              <w:t>固定套餐</w:t>
            </w:r>
            <w:r>
              <w:rPr>
                <w:rFonts w:hint="eastAsia" w:cs="仿宋"/>
                <w:sz w:val="21"/>
                <w:lang w:eastAsia="zh-CN"/>
              </w:rPr>
              <w:t>总价值</w:t>
            </w:r>
            <w:r>
              <w:rPr>
                <w:rFonts w:hint="eastAsia" w:ascii="仿宋" w:hAnsi="仿宋" w:eastAsia="仿宋" w:cs="仿宋"/>
                <w:b w:val="0"/>
                <w:bCs w:val="0"/>
                <w:sz w:val="21"/>
                <w:szCs w:val="24"/>
                <w:lang w:val="en-US" w:eastAsia="zh-CN"/>
              </w:rPr>
              <w:t>≥300元/份</w:t>
            </w:r>
            <w:r>
              <w:rPr>
                <w:rFonts w:hint="eastAsia" w:cs="仿宋"/>
                <w:b w:val="0"/>
                <w:bCs w:val="0"/>
                <w:sz w:val="21"/>
                <w:szCs w:val="24"/>
                <w:lang w:val="en-US" w:eastAsia="zh-CN"/>
              </w:rPr>
              <w:t>。</w:t>
            </w:r>
          </w:p>
        </w:tc>
      </w:tr>
    </w:tbl>
    <w:p w14:paraId="372DC2B3">
      <w:pPr>
        <w:numPr>
          <w:ilvl w:val="0"/>
          <w:numId w:val="0"/>
        </w:numPr>
        <w:jc w:val="both"/>
        <w:rPr>
          <w:rFonts w:hint="eastAsia"/>
          <w:b/>
          <w:bCs/>
          <w:sz w:val="24"/>
          <w:szCs w:val="32"/>
          <w:lang w:val="en-US" w:eastAsia="zh-CN"/>
        </w:rPr>
      </w:pPr>
    </w:p>
    <w:p w14:paraId="027F83B5">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1、供应商应对此次调研需要的货物及服务提供市场调研资料（包括但不限于：套餐内容、服务方案、配送范围、配送方案、产品质量要求、售后服务、产品价值报价、增值服务等），不接受只对产品进行报价。</w:t>
      </w:r>
    </w:p>
    <w:p w14:paraId="73837CBD">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2、报价要求：供应商报价时应充分考虑货物的供应、包装、运输、售后服务、人员投入费用、税费等，综合考虑自身的成本提供最优报价。</w:t>
      </w:r>
    </w:p>
    <w:p w14:paraId="463512E5">
      <w:pPr>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3、参与调研供应商需按本需求的附件1“</w:t>
      </w:r>
      <w:r>
        <w:rPr>
          <w:rFonts w:hint="eastAsia" w:ascii="仿宋" w:hAnsi="仿宋" w:eastAsia="仿宋" w:cs="仿宋"/>
          <w:b w:val="0"/>
          <w:bCs w:val="0"/>
          <w:i w:val="0"/>
          <w:iCs w:val="0"/>
          <w:color w:val="auto"/>
          <w:kern w:val="2"/>
          <w:sz w:val="28"/>
          <w:szCs w:val="28"/>
          <w:u w:val="none"/>
          <w:lang w:val="en-US" w:eastAsia="zh-CN" w:bidi="ar"/>
        </w:rPr>
        <w:t>市场调研报价表”的内容提供报价方案（须包括表1）</w:t>
      </w:r>
      <w:r>
        <w:rPr>
          <w:rFonts w:hint="eastAsia" w:ascii="仿宋" w:hAnsi="仿宋" w:eastAsia="仿宋" w:cs="仿宋"/>
          <w:b w:val="0"/>
          <w:bCs w:val="0"/>
          <w:sz w:val="28"/>
          <w:szCs w:val="28"/>
          <w:lang w:val="en-US" w:eastAsia="zh-CN"/>
        </w:rPr>
        <w:t>。</w:t>
      </w:r>
    </w:p>
    <w:p w14:paraId="3A39CFD2">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4、供应商须具有有效的工商营业执照、食品经营许可证。</w:t>
      </w:r>
    </w:p>
    <w:p w14:paraId="3D45C83B">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5、在调研文件中标注“★”标识的内容条款被视为重要的响应要求、技术指标要求。供应商必须对此作全面响应和满足。</w:t>
      </w:r>
    </w:p>
    <w:p w14:paraId="11A7953E">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二、项目概况：</w:t>
      </w:r>
    </w:p>
    <w:p w14:paraId="7F9BE48F">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中山市口腔医院现拟采购2026年春节慰问品一批（价格包括但不限于标的的货款、税费、分装、运送（如快递、物流派送到家）、简要技术需求或服务要求等一切费用。）采购数量约266份，最终结算数量以实际发生数量为准。</w:t>
      </w:r>
    </w:p>
    <w:p w14:paraId="3F9A57F6">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★第一条慰问品要求：</w:t>
      </w:r>
    </w:p>
    <w:p w14:paraId="0421B4F1">
      <w:pPr>
        <w:numPr>
          <w:ilvl w:val="0"/>
          <w:numId w:val="2"/>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原则上为健康绿色食品和生活用品、洗护用品等产品，如大米（5kg）、油(5L)、面、牛奶、糖果、干货、纸巾、洗衣液、洗发水、沐浴露等。</w:t>
      </w:r>
    </w:p>
    <w:p w14:paraId="0F7AAC2C">
      <w:pPr>
        <w:numPr>
          <w:ilvl w:val="0"/>
          <w:numId w:val="2"/>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慰问品固定套餐方案：固定套餐配置组合至少三个方案或以上。</w:t>
      </w:r>
    </w:p>
    <w:p w14:paraId="23B86D80">
      <w:pPr>
        <w:numPr>
          <w:ilvl w:val="0"/>
          <w:numId w:val="2"/>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质量要求：配送的货物必须与报价产品一致，并且提供的货物在满足采购人的需求前提下必须符合国家质量安全标准和食品卫生标准，其中食品剩余保质期应不少于质保期总量的三分之二。</w:t>
      </w:r>
    </w:p>
    <w:p w14:paraId="2B3A0413">
      <w:pPr>
        <w:numPr>
          <w:ilvl w:val="0"/>
          <w:numId w:val="2"/>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套餐商品用物流箱打包，以方便转运。</w:t>
      </w:r>
    </w:p>
    <w:p w14:paraId="188A7942">
      <w:pPr>
        <w:numPr>
          <w:ilvl w:val="0"/>
          <w:numId w:val="2"/>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配送范围：全国包邮</w:t>
      </w:r>
    </w:p>
    <w:p w14:paraId="05B2CE04">
      <w:pPr>
        <w:numPr>
          <w:ilvl w:val="0"/>
          <w:numId w:val="2"/>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供货时间要求：具体以采购方通知时间为准。</w:t>
      </w:r>
    </w:p>
    <w:p w14:paraId="6867E70A">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★第二条潜在供应商的义务</w:t>
      </w:r>
    </w:p>
    <w:p w14:paraId="54B03A40">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1、供应商须提供快递物流等配送方式送至中山市口腔医院职工指定范围（可通过链接指定位置送达，含全国范围包邮）；</w:t>
      </w:r>
    </w:p>
    <w:p w14:paraId="73EE93F6">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2、供应商必须承诺提供的产品为合法销售、渠道正规、全新正品，符合国家有关质量标准。如出现严重质量问题或产品制造商推诿服务质量责任时，供应商须承担最终责任并提供质量和服务保障。</w:t>
      </w:r>
    </w:p>
    <w:p w14:paraId="41F6C7F0">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供应商应及时响应采购方提出的合理要求和建议，采购方在使用过程中发现质量问题，供应商应在收到采购人通知后24小时内给予更换，若就货物质量产生分歧纠纷，可委托专业公司或有资质的机构进行委托检测，检测费用由成交供应商支付，调研人有权追究其法律责任。</w:t>
      </w:r>
    </w:p>
    <w:p w14:paraId="02853E1D">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4、如遇水灾，火灾等自然灾害导致供货延迟等不可抗拒因素，导致合同内产品不能按期交货，必须在三天内书面和电话告知采购方，在得到同意后，明确提出解决方案和交货时间。</w:t>
      </w:r>
    </w:p>
    <w:p w14:paraId="023B3507">
      <w:pPr>
        <w:numPr>
          <w:ilvl w:val="0"/>
          <w:numId w:val="0"/>
        </w:numPr>
        <w:jc w:val="both"/>
        <w:rPr>
          <w:rFonts w:hint="eastAsia" w:ascii="仿宋" w:hAnsi="仿宋" w:eastAsia="仿宋" w:cs="仿宋"/>
          <w:b w:val="0"/>
          <w:bCs w:val="0"/>
          <w:sz w:val="28"/>
          <w:szCs w:val="28"/>
          <w:lang w:val="en-US" w:eastAsia="zh-CN"/>
        </w:rPr>
      </w:pPr>
    </w:p>
    <w:p w14:paraId="4CD4FE0A">
      <w:pPr>
        <w:numPr>
          <w:ilvl w:val="0"/>
          <w:numId w:val="0"/>
        </w:numPr>
        <w:jc w:val="both"/>
        <w:rPr>
          <w:rFonts w:hint="eastAsia" w:ascii="仿宋" w:hAnsi="仿宋" w:eastAsia="仿宋" w:cs="仿宋"/>
          <w:b w:val="0"/>
          <w:bCs w:val="0"/>
          <w:sz w:val="28"/>
          <w:szCs w:val="28"/>
          <w:lang w:val="en-US" w:eastAsia="zh-CN"/>
        </w:rPr>
      </w:pPr>
    </w:p>
    <w:p w14:paraId="5778FDC4">
      <w:pPr>
        <w:numPr>
          <w:ilvl w:val="0"/>
          <w:numId w:val="0"/>
        </w:numPr>
        <w:jc w:val="both"/>
        <w:rPr>
          <w:rFonts w:hint="eastAsia" w:ascii="仿宋" w:hAnsi="仿宋" w:eastAsia="仿宋" w:cs="仿宋"/>
          <w:b w:val="0"/>
          <w:bCs w:val="0"/>
          <w:sz w:val="28"/>
          <w:szCs w:val="28"/>
          <w:lang w:val="en-US" w:eastAsia="zh-CN"/>
        </w:rPr>
      </w:pPr>
    </w:p>
    <w:p w14:paraId="2391A55E">
      <w:pPr>
        <w:numPr>
          <w:ilvl w:val="0"/>
          <w:numId w:val="0"/>
        </w:numPr>
        <w:jc w:val="both"/>
        <w:rPr>
          <w:rFonts w:hint="eastAsia" w:ascii="仿宋" w:hAnsi="仿宋" w:eastAsia="仿宋" w:cs="仿宋"/>
          <w:b w:val="0"/>
          <w:bCs w:val="0"/>
          <w:sz w:val="28"/>
          <w:szCs w:val="28"/>
          <w:lang w:val="en-US" w:eastAsia="zh-CN"/>
        </w:rPr>
      </w:pPr>
    </w:p>
    <w:p w14:paraId="32AB4DE9">
      <w:pPr>
        <w:numPr>
          <w:ilvl w:val="0"/>
          <w:numId w:val="0"/>
        </w:numPr>
        <w:jc w:val="both"/>
        <w:rPr>
          <w:rFonts w:hint="eastAsia" w:ascii="仿宋" w:hAnsi="仿宋" w:eastAsia="仿宋" w:cs="仿宋"/>
          <w:b w:val="0"/>
          <w:bCs w:val="0"/>
          <w:sz w:val="28"/>
          <w:szCs w:val="28"/>
          <w:lang w:val="en-US" w:eastAsia="zh-CN"/>
        </w:rPr>
      </w:pPr>
    </w:p>
    <w:p w14:paraId="6B78CEC1">
      <w:pPr>
        <w:numPr>
          <w:ilvl w:val="0"/>
          <w:numId w:val="0"/>
        </w:numPr>
        <w:jc w:val="both"/>
        <w:rPr>
          <w:rFonts w:hint="eastAsia" w:ascii="仿宋" w:hAnsi="仿宋" w:eastAsia="仿宋" w:cs="仿宋"/>
          <w:b w:val="0"/>
          <w:bCs w:val="0"/>
          <w:sz w:val="28"/>
          <w:szCs w:val="28"/>
          <w:lang w:val="en-US" w:eastAsia="zh-CN"/>
        </w:rPr>
      </w:pPr>
    </w:p>
    <w:p w14:paraId="76F61EE3">
      <w:pPr>
        <w:numPr>
          <w:ilvl w:val="0"/>
          <w:numId w:val="0"/>
        </w:numPr>
        <w:jc w:val="both"/>
        <w:rPr>
          <w:rFonts w:hint="eastAsia" w:ascii="仿宋" w:hAnsi="仿宋" w:eastAsia="仿宋" w:cs="仿宋"/>
          <w:b w:val="0"/>
          <w:bCs w:val="0"/>
          <w:sz w:val="28"/>
          <w:szCs w:val="28"/>
          <w:lang w:val="en-US" w:eastAsia="zh-CN"/>
        </w:rPr>
      </w:pPr>
    </w:p>
    <w:p w14:paraId="6DA8C364">
      <w:pPr>
        <w:numPr>
          <w:ilvl w:val="0"/>
          <w:numId w:val="0"/>
        </w:numPr>
        <w:jc w:val="both"/>
        <w:rPr>
          <w:rFonts w:hint="eastAsia" w:ascii="仿宋" w:hAnsi="仿宋" w:eastAsia="仿宋" w:cs="仿宋"/>
          <w:b w:val="0"/>
          <w:bCs w:val="0"/>
          <w:sz w:val="28"/>
          <w:szCs w:val="28"/>
          <w:lang w:val="en-US" w:eastAsia="zh-CN"/>
        </w:rPr>
      </w:pPr>
    </w:p>
    <w:p w14:paraId="52C657D0">
      <w:pPr>
        <w:numPr>
          <w:ilvl w:val="0"/>
          <w:numId w:val="0"/>
        </w:numPr>
        <w:jc w:val="both"/>
        <w:rPr>
          <w:rFonts w:hint="eastAsia" w:ascii="仿宋" w:hAnsi="仿宋" w:eastAsia="仿宋" w:cs="仿宋"/>
          <w:b w:val="0"/>
          <w:bCs w:val="0"/>
          <w:sz w:val="28"/>
          <w:szCs w:val="28"/>
          <w:lang w:val="en-US" w:eastAsia="zh-CN"/>
        </w:rPr>
      </w:pPr>
    </w:p>
    <w:p w14:paraId="6229E794">
      <w:pPr>
        <w:numPr>
          <w:ilvl w:val="0"/>
          <w:numId w:val="0"/>
        </w:numPr>
        <w:jc w:val="both"/>
        <w:rPr>
          <w:rFonts w:hint="eastAsia" w:ascii="仿宋" w:hAnsi="仿宋" w:eastAsia="仿宋" w:cs="仿宋"/>
          <w:b w:val="0"/>
          <w:bCs w:val="0"/>
          <w:sz w:val="28"/>
          <w:szCs w:val="28"/>
          <w:lang w:val="en-US" w:eastAsia="zh-CN"/>
        </w:rPr>
      </w:pPr>
    </w:p>
    <w:p w14:paraId="2A5A0F55">
      <w:pPr>
        <w:numPr>
          <w:ilvl w:val="0"/>
          <w:numId w:val="0"/>
        </w:numPr>
        <w:jc w:val="both"/>
        <w:rPr>
          <w:rFonts w:hint="eastAsia" w:ascii="仿宋" w:hAnsi="仿宋" w:eastAsia="仿宋" w:cs="仿宋"/>
          <w:b w:val="0"/>
          <w:bCs w:val="0"/>
          <w:sz w:val="28"/>
          <w:szCs w:val="28"/>
          <w:lang w:val="en-US" w:eastAsia="zh-CN"/>
        </w:rPr>
      </w:pPr>
    </w:p>
    <w:p w14:paraId="0E9D4F48">
      <w:pPr>
        <w:numPr>
          <w:ilvl w:val="0"/>
          <w:numId w:val="0"/>
        </w:numPr>
        <w:jc w:val="both"/>
        <w:rPr>
          <w:rFonts w:hint="eastAsia" w:ascii="仿宋" w:hAnsi="仿宋" w:eastAsia="仿宋" w:cs="仿宋"/>
          <w:b w:val="0"/>
          <w:bCs w:val="0"/>
          <w:sz w:val="28"/>
          <w:szCs w:val="28"/>
          <w:lang w:val="en-US" w:eastAsia="zh-CN"/>
        </w:rPr>
      </w:pPr>
    </w:p>
    <w:p w14:paraId="2B9F978B">
      <w:pPr>
        <w:numPr>
          <w:ilvl w:val="0"/>
          <w:numId w:val="0"/>
        </w:numPr>
        <w:jc w:val="both"/>
        <w:rPr>
          <w:rFonts w:hint="eastAsia" w:ascii="仿宋" w:hAnsi="仿宋" w:eastAsia="仿宋" w:cs="仿宋"/>
          <w:b w:val="0"/>
          <w:bCs w:val="0"/>
          <w:sz w:val="28"/>
          <w:szCs w:val="28"/>
          <w:lang w:val="en-US" w:eastAsia="zh-CN"/>
        </w:rPr>
      </w:pPr>
    </w:p>
    <w:p w14:paraId="3872CED3">
      <w:pPr>
        <w:numPr>
          <w:ilvl w:val="0"/>
          <w:numId w:val="0"/>
        </w:numPr>
        <w:jc w:val="both"/>
        <w:rPr>
          <w:rFonts w:hint="eastAsia" w:ascii="仿宋" w:hAnsi="仿宋" w:eastAsia="仿宋" w:cs="仿宋"/>
          <w:b w:val="0"/>
          <w:bCs w:val="0"/>
          <w:sz w:val="28"/>
          <w:szCs w:val="28"/>
          <w:lang w:val="en-US" w:eastAsia="zh-CN"/>
        </w:rPr>
      </w:pPr>
    </w:p>
    <w:p w14:paraId="03888FD7">
      <w:pPr>
        <w:numPr>
          <w:ilvl w:val="0"/>
          <w:numId w:val="0"/>
        </w:numPr>
        <w:jc w:val="both"/>
        <w:rPr>
          <w:rFonts w:hint="eastAsia" w:ascii="仿宋" w:hAnsi="仿宋" w:eastAsia="仿宋" w:cs="仿宋"/>
          <w:b w:val="0"/>
          <w:bCs w:val="0"/>
          <w:sz w:val="28"/>
          <w:szCs w:val="28"/>
          <w:lang w:val="en-US" w:eastAsia="zh-CN"/>
        </w:rPr>
      </w:pPr>
    </w:p>
    <w:p w14:paraId="5527A992">
      <w:pPr>
        <w:numPr>
          <w:ilvl w:val="0"/>
          <w:numId w:val="0"/>
        </w:numPr>
        <w:jc w:val="both"/>
        <w:rPr>
          <w:rFonts w:hint="eastAsia" w:ascii="仿宋" w:hAnsi="仿宋" w:eastAsia="仿宋" w:cs="仿宋"/>
          <w:b w:val="0"/>
          <w:bCs w:val="0"/>
          <w:sz w:val="28"/>
          <w:szCs w:val="28"/>
          <w:lang w:val="en-US" w:eastAsia="zh-CN"/>
        </w:rPr>
      </w:pPr>
    </w:p>
    <w:tbl>
      <w:tblPr>
        <w:tblStyle w:val="2"/>
        <w:tblW w:w="114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2663"/>
        <w:gridCol w:w="1727"/>
        <w:gridCol w:w="1834"/>
        <w:gridCol w:w="1615"/>
        <w:gridCol w:w="2446"/>
        <w:gridCol w:w="236"/>
      </w:tblGrid>
      <w:tr w14:paraId="2D51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1494" w:type="dxa"/>
            <w:gridSpan w:val="7"/>
            <w:tcBorders>
              <w:top w:val="nil"/>
              <w:left w:val="nil"/>
              <w:bottom w:val="nil"/>
              <w:right w:val="nil"/>
            </w:tcBorders>
            <w:shd w:val="clear" w:color="auto" w:fill="auto"/>
            <w:vAlign w:val="top"/>
          </w:tcPr>
          <w:p w14:paraId="0AE54E99">
            <w:pPr>
              <w:rPr>
                <w:rFonts w:hint="default" w:ascii="Arial" w:hAnsi="Arial" w:cs="Arial" w:eastAsiaTheme="minorEastAsia"/>
                <w:i w:val="0"/>
                <w:iCs w:val="0"/>
                <w:color w:val="000000"/>
                <w:sz w:val="22"/>
                <w:szCs w:val="22"/>
                <w:u w:val="none"/>
                <w:lang w:val="en-US" w:eastAsia="zh-CN"/>
              </w:rPr>
            </w:pPr>
            <w:r>
              <w:rPr>
                <w:rFonts w:hint="eastAsia" w:ascii="仿宋" w:hAnsi="仿宋" w:eastAsia="仿宋" w:cs="仿宋"/>
                <w:b/>
                <w:bCs/>
                <w:i w:val="0"/>
                <w:iCs w:val="0"/>
                <w:color w:val="000000"/>
                <w:kern w:val="0"/>
                <w:sz w:val="30"/>
                <w:szCs w:val="30"/>
                <w:u w:val="none"/>
                <w:lang w:val="en-US" w:eastAsia="zh-CN" w:bidi="ar"/>
              </w:rPr>
              <w:t>附件1：市场调研报价表</w:t>
            </w:r>
          </w:p>
        </w:tc>
      </w:tr>
      <w:tr w14:paraId="6196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055" w:hRule="atLeast"/>
          <w:jc w:val="center"/>
        </w:trPr>
        <w:tc>
          <w:tcPr>
            <w:tcW w:w="112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343564">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表1：中山市口腔医院2026年春节慰问品采购市场调研报价表（固定套餐）</w:t>
            </w:r>
          </w:p>
        </w:tc>
      </w:tr>
      <w:tr w14:paraId="4E89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2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4257">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41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商品名称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B9B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品牌</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D4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规格</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2C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单价</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F5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产品图片</w:t>
            </w:r>
          </w:p>
        </w:tc>
      </w:tr>
      <w:tr w14:paraId="3C57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2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42DA">
            <w:pPr>
              <w:jc w:val="center"/>
              <w:rPr>
                <w:rFonts w:hint="default" w:ascii="Arial" w:hAnsi="Arial" w:cs="Arial"/>
                <w:i w:val="0"/>
                <w:iCs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FD92">
            <w:pPr>
              <w:jc w:val="center"/>
              <w:rPr>
                <w:rFonts w:hint="default" w:ascii="Arial" w:hAnsi="Arial" w:cs="Arial"/>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732C">
            <w:pPr>
              <w:jc w:val="center"/>
              <w:rPr>
                <w:rFonts w:hint="default" w:ascii="Arial" w:hAnsi="Arial" w:cs="Arial"/>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0AE8">
            <w:pPr>
              <w:jc w:val="center"/>
              <w:rPr>
                <w:rFonts w:hint="default" w:ascii="Arial" w:hAnsi="Arial" w:cs="Arial"/>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B40F">
            <w:pPr>
              <w:jc w:val="center"/>
              <w:rPr>
                <w:rFonts w:hint="default" w:ascii="Arial" w:hAnsi="Arial" w:cs="Arial"/>
                <w:i w:val="0"/>
                <w:iCs w:val="0"/>
                <w:color w:val="000000"/>
                <w:sz w:val="22"/>
                <w:szCs w:val="22"/>
                <w:u w:val="none"/>
              </w:rPr>
            </w:pPr>
          </w:p>
        </w:tc>
        <w:tc>
          <w:tcPr>
            <w:tcW w:w="244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AE6D14E">
            <w:pPr>
              <w:jc w:val="left"/>
              <w:rPr>
                <w:rFonts w:hint="default" w:ascii="Arial" w:hAnsi="Arial" w:cs="Arial"/>
                <w:i w:val="0"/>
                <w:iCs w:val="0"/>
                <w:color w:val="000000"/>
                <w:sz w:val="22"/>
                <w:szCs w:val="22"/>
                <w:u w:val="none"/>
              </w:rPr>
            </w:pPr>
          </w:p>
        </w:tc>
      </w:tr>
      <w:tr w14:paraId="5FF5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1"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D148">
            <w:pPr>
              <w:jc w:val="center"/>
              <w:rPr>
                <w:rFonts w:hint="default" w:ascii="Arial" w:hAnsi="Arial" w:cs="Arial"/>
                <w:i w:val="0"/>
                <w:iCs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919">
            <w:pPr>
              <w:jc w:val="center"/>
              <w:rPr>
                <w:rFonts w:hint="default" w:ascii="Arial" w:hAnsi="Arial" w:cs="Arial"/>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885F">
            <w:pPr>
              <w:jc w:val="center"/>
              <w:rPr>
                <w:rFonts w:hint="default" w:ascii="Arial" w:hAnsi="Arial" w:cs="Arial"/>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78CC">
            <w:pPr>
              <w:jc w:val="center"/>
              <w:rPr>
                <w:rFonts w:hint="default" w:ascii="Arial" w:hAnsi="Arial" w:cs="Arial"/>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A11B">
            <w:pPr>
              <w:jc w:val="center"/>
              <w:rPr>
                <w:rFonts w:hint="default" w:ascii="Arial" w:hAnsi="Arial" w:cs="Arial"/>
                <w:i w:val="0"/>
                <w:iCs w:val="0"/>
                <w:color w:val="000000"/>
                <w:sz w:val="22"/>
                <w:szCs w:val="22"/>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BE384B">
            <w:pPr>
              <w:jc w:val="left"/>
              <w:rPr>
                <w:rFonts w:hint="default" w:ascii="Arial" w:hAnsi="Arial" w:cs="Arial"/>
                <w:i w:val="0"/>
                <w:iCs w:val="0"/>
                <w:color w:val="000000"/>
                <w:sz w:val="22"/>
                <w:szCs w:val="22"/>
                <w:u w:val="none"/>
              </w:rPr>
            </w:pPr>
          </w:p>
        </w:tc>
      </w:tr>
      <w:tr w14:paraId="1476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05"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C23A">
            <w:pPr>
              <w:jc w:val="center"/>
              <w:rPr>
                <w:rFonts w:hint="default" w:ascii="Arial" w:hAnsi="Arial" w:cs="Arial"/>
                <w:i w:val="0"/>
                <w:iCs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F46A">
            <w:pPr>
              <w:jc w:val="center"/>
              <w:rPr>
                <w:rFonts w:hint="default" w:ascii="Arial" w:hAnsi="Arial" w:cs="Arial"/>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8B4D">
            <w:pPr>
              <w:jc w:val="center"/>
              <w:rPr>
                <w:rFonts w:hint="default" w:ascii="Arial" w:hAnsi="Arial" w:cs="Arial"/>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A376">
            <w:pPr>
              <w:jc w:val="center"/>
              <w:rPr>
                <w:rFonts w:hint="default" w:ascii="Arial" w:hAnsi="Arial" w:cs="Arial"/>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8F6F">
            <w:pPr>
              <w:jc w:val="center"/>
              <w:rPr>
                <w:rFonts w:hint="default" w:ascii="Arial" w:hAnsi="Arial" w:cs="Arial"/>
                <w:i w:val="0"/>
                <w:iCs w:val="0"/>
                <w:color w:val="000000"/>
                <w:sz w:val="22"/>
                <w:szCs w:val="22"/>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EF2519">
            <w:pPr>
              <w:jc w:val="left"/>
              <w:rPr>
                <w:rFonts w:hint="default" w:ascii="Arial" w:hAnsi="Arial" w:cs="Arial"/>
                <w:i w:val="0"/>
                <w:iCs w:val="0"/>
                <w:color w:val="000000"/>
                <w:sz w:val="22"/>
                <w:szCs w:val="22"/>
                <w:u w:val="none"/>
              </w:rPr>
            </w:pPr>
          </w:p>
        </w:tc>
      </w:tr>
      <w:tr w14:paraId="63C6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68FE">
            <w:pPr>
              <w:jc w:val="center"/>
              <w:rPr>
                <w:rFonts w:hint="default" w:ascii="Arial" w:hAnsi="Arial" w:cs="Arial"/>
                <w:i w:val="0"/>
                <w:iCs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8A72">
            <w:pPr>
              <w:jc w:val="center"/>
              <w:rPr>
                <w:rFonts w:hint="default" w:ascii="Arial" w:hAnsi="Arial" w:cs="Arial"/>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DEF5">
            <w:pPr>
              <w:jc w:val="center"/>
              <w:rPr>
                <w:rFonts w:hint="default" w:ascii="Arial" w:hAnsi="Arial" w:cs="Arial"/>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4673">
            <w:pPr>
              <w:jc w:val="center"/>
              <w:rPr>
                <w:rFonts w:hint="default" w:ascii="Arial" w:hAnsi="Arial" w:cs="Arial"/>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3E3A">
            <w:pPr>
              <w:jc w:val="center"/>
              <w:rPr>
                <w:rFonts w:hint="default" w:ascii="Arial" w:hAnsi="Arial" w:cs="Arial"/>
                <w:i w:val="0"/>
                <w:iCs w:val="0"/>
                <w:color w:val="000000"/>
                <w:sz w:val="22"/>
                <w:szCs w:val="22"/>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769A05">
            <w:pPr>
              <w:jc w:val="left"/>
              <w:rPr>
                <w:rFonts w:hint="default" w:ascii="Arial" w:hAnsi="Arial" w:cs="Arial"/>
                <w:i w:val="0"/>
                <w:iCs w:val="0"/>
                <w:color w:val="000000"/>
                <w:sz w:val="22"/>
                <w:szCs w:val="22"/>
                <w:u w:val="none"/>
              </w:rPr>
            </w:pPr>
          </w:p>
        </w:tc>
      </w:tr>
      <w:tr w14:paraId="1095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6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E65E">
            <w:pPr>
              <w:jc w:val="center"/>
              <w:rPr>
                <w:rFonts w:hint="default" w:ascii="Arial" w:hAnsi="Arial" w:cs="Arial"/>
                <w:i w:val="0"/>
                <w:iCs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DE80">
            <w:pPr>
              <w:jc w:val="center"/>
              <w:rPr>
                <w:rFonts w:hint="default" w:ascii="Arial" w:hAnsi="Arial" w:cs="Arial"/>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D877">
            <w:pPr>
              <w:jc w:val="center"/>
              <w:rPr>
                <w:rFonts w:hint="default" w:ascii="Arial" w:hAnsi="Arial" w:cs="Arial"/>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34B2">
            <w:pPr>
              <w:jc w:val="center"/>
              <w:rPr>
                <w:rFonts w:hint="default" w:ascii="Arial" w:hAnsi="Arial" w:cs="Arial"/>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DB08">
            <w:pPr>
              <w:jc w:val="center"/>
              <w:rPr>
                <w:rFonts w:hint="default" w:ascii="Arial" w:hAnsi="Arial" w:cs="Arial"/>
                <w:i w:val="0"/>
                <w:iCs w:val="0"/>
                <w:color w:val="000000"/>
                <w:sz w:val="22"/>
                <w:szCs w:val="22"/>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610464">
            <w:pPr>
              <w:jc w:val="left"/>
              <w:rPr>
                <w:rFonts w:hint="default" w:ascii="Arial" w:hAnsi="Arial" w:cs="Arial"/>
                <w:i w:val="0"/>
                <w:iCs w:val="0"/>
                <w:color w:val="000000"/>
                <w:sz w:val="22"/>
                <w:szCs w:val="22"/>
                <w:u w:val="none"/>
              </w:rPr>
            </w:pPr>
          </w:p>
        </w:tc>
      </w:tr>
      <w:tr w14:paraId="38DD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6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8247">
            <w:pPr>
              <w:jc w:val="center"/>
              <w:rPr>
                <w:rFonts w:hint="default" w:ascii="Arial" w:hAnsi="Arial" w:cs="Arial"/>
                <w:i w:val="0"/>
                <w:iCs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7143">
            <w:pPr>
              <w:jc w:val="center"/>
              <w:rPr>
                <w:rFonts w:hint="default" w:ascii="Arial" w:hAnsi="Arial" w:cs="Arial"/>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6E6F">
            <w:pPr>
              <w:jc w:val="center"/>
              <w:rPr>
                <w:rFonts w:hint="default" w:ascii="Arial" w:hAnsi="Arial" w:cs="Arial"/>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FC79">
            <w:pPr>
              <w:jc w:val="center"/>
              <w:rPr>
                <w:rFonts w:hint="default" w:ascii="Arial" w:hAnsi="Arial" w:cs="Arial"/>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F8C9">
            <w:pPr>
              <w:jc w:val="center"/>
              <w:rPr>
                <w:rFonts w:hint="default" w:ascii="Arial" w:hAnsi="Arial" w:cs="Arial"/>
                <w:i w:val="0"/>
                <w:iCs w:val="0"/>
                <w:color w:val="000000"/>
                <w:sz w:val="22"/>
                <w:szCs w:val="22"/>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1D344B">
            <w:pPr>
              <w:jc w:val="left"/>
              <w:rPr>
                <w:rFonts w:hint="default" w:ascii="Arial" w:hAnsi="Arial" w:cs="Arial"/>
                <w:i w:val="0"/>
                <w:iCs w:val="0"/>
                <w:color w:val="000000"/>
                <w:sz w:val="22"/>
                <w:szCs w:val="22"/>
                <w:u w:val="none"/>
              </w:rPr>
            </w:pPr>
          </w:p>
        </w:tc>
      </w:tr>
      <w:tr w14:paraId="433C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6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7629">
            <w:pPr>
              <w:jc w:val="center"/>
              <w:rPr>
                <w:rFonts w:hint="default" w:ascii="Arial" w:hAnsi="Arial" w:cs="Arial"/>
                <w:i w:val="0"/>
                <w:iCs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FE03">
            <w:pPr>
              <w:jc w:val="center"/>
              <w:rPr>
                <w:rFonts w:hint="default" w:ascii="Arial" w:hAnsi="Arial" w:cs="Arial"/>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3C38">
            <w:pPr>
              <w:jc w:val="center"/>
              <w:rPr>
                <w:rFonts w:hint="default" w:ascii="Arial" w:hAnsi="Arial" w:cs="Arial"/>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463">
            <w:pPr>
              <w:jc w:val="center"/>
              <w:rPr>
                <w:rFonts w:hint="default" w:ascii="Arial" w:hAnsi="Arial" w:cs="Arial"/>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5B57">
            <w:pPr>
              <w:jc w:val="center"/>
              <w:rPr>
                <w:rFonts w:hint="default" w:ascii="Arial" w:hAnsi="Arial" w:cs="Arial"/>
                <w:i w:val="0"/>
                <w:iCs w:val="0"/>
                <w:color w:val="000000"/>
                <w:sz w:val="22"/>
                <w:szCs w:val="22"/>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5B31C0">
            <w:pPr>
              <w:jc w:val="left"/>
              <w:rPr>
                <w:rFonts w:hint="default" w:ascii="Arial" w:hAnsi="Arial" w:cs="Arial"/>
                <w:i w:val="0"/>
                <w:iCs w:val="0"/>
                <w:color w:val="000000"/>
                <w:sz w:val="22"/>
                <w:szCs w:val="22"/>
                <w:u w:val="none"/>
              </w:rPr>
            </w:pPr>
          </w:p>
        </w:tc>
      </w:tr>
      <w:tr w14:paraId="7A62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6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8F35">
            <w:pPr>
              <w:jc w:val="center"/>
              <w:rPr>
                <w:rFonts w:hint="default" w:ascii="Arial" w:hAnsi="Arial" w:cs="Arial"/>
                <w:i w:val="0"/>
                <w:iCs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3BA2">
            <w:pPr>
              <w:jc w:val="center"/>
              <w:rPr>
                <w:rFonts w:hint="default" w:ascii="Arial" w:hAnsi="Arial" w:cs="Arial"/>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5B39">
            <w:pPr>
              <w:jc w:val="center"/>
              <w:rPr>
                <w:rFonts w:hint="default" w:ascii="Arial" w:hAnsi="Arial" w:cs="Arial"/>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F3E">
            <w:pPr>
              <w:jc w:val="center"/>
              <w:rPr>
                <w:rFonts w:hint="default" w:ascii="Arial" w:hAnsi="Arial" w:cs="Arial"/>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8E6B">
            <w:pPr>
              <w:jc w:val="center"/>
              <w:rPr>
                <w:rFonts w:hint="default" w:ascii="Arial" w:hAnsi="Arial" w:cs="Arial"/>
                <w:i w:val="0"/>
                <w:iCs w:val="0"/>
                <w:color w:val="000000"/>
                <w:sz w:val="22"/>
                <w:szCs w:val="22"/>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6562B6">
            <w:pPr>
              <w:jc w:val="left"/>
              <w:rPr>
                <w:rFonts w:hint="default" w:ascii="Arial" w:hAnsi="Arial" w:cs="Arial"/>
                <w:i w:val="0"/>
                <w:iCs w:val="0"/>
                <w:color w:val="000000"/>
                <w:sz w:val="22"/>
                <w:szCs w:val="22"/>
                <w:u w:val="none"/>
              </w:rPr>
            </w:pPr>
          </w:p>
        </w:tc>
      </w:tr>
      <w:tr w14:paraId="60E3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10" w:hRule="atLeast"/>
          <w:jc w:val="center"/>
        </w:trPr>
        <w:tc>
          <w:tcPr>
            <w:tcW w:w="8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3ACB9">
            <w:pPr>
              <w:jc w:val="left"/>
              <w:rPr>
                <w:rFonts w:hint="default" w:ascii="Arial" w:hAnsi="Arial" w:cs="Arial"/>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慰问品固定套餐总价值（元）：</w:t>
            </w: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DD75C8">
            <w:pPr>
              <w:jc w:val="left"/>
              <w:rPr>
                <w:rFonts w:hint="default" w:ascii="Arial" w:hAnsi="Arial" w:cs="Arial"/>
                <w:i w:val="0"/>
                <w:iCs w:val="0"/>
                <w:color w:val="000000"/>
                <w:sz w:val="22"/>
                <w:szCs w:val="22"/>
                <w:u w:val="none"/>
              </w:rPr>
            </w:pPr>
          </w:p>
        </w:tc>
      </w:tr>
      <w:tr w14:paraId="78FA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033" w:hRule="atLeast"/>
          <w:jc w:val="center"/>
        </w:trPr>
        <w:tc>
          <w:tcPr>
            <w:tcW w:w="112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177565">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备注：“春节慰问品固定套餐”的结算单价均为300元/份，固定不变。</w:t>
            </w:r>
          </w:p>
          <w:p w14:paraId="1F19AA9B">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1、如有其他套餐方案，可延用此表格。</w:t>
            </w:r>
            <w:r>
              <w:rPr>
                <w:rFonts w:hint="default" w:ascii="Arial" w:hAnsi="Arial" w:eastAsia="仿宋" w:cs="Arial"/>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2、报价含税：提供增值税专票或普票。</w:t>
            </w:r>
            <w:r>
              <w:rPr>
                <w:rFonts w:hint="default"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3、套餐商品用物流箱打包。</w:t>
            </w:r>
            <w:r>
              <w:rPr>
                <w:rFonts w:hint="default"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4、须附上套餐所含的全部产品图片，图片须清晰可见，或单独提供图片资料。</w:t>
            </w:r>
          </w:p>
          <w:p w14:paraId="2A21A8B2">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5、货物图片可根据实际情况另外附页补充（需盖公章）。</w:t>
            </w:r>
          </w:p>
        </w:tc>
      </w:tr>
      <w:tr w14:paraId="4B5D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75" w:hRule="atLeast"/>
          <w:jc w:val="center"/>
        </w:trPr>
        <w:tc>
          <w:tcPr>
            <w:tcW w:w="3636" w:type="dxa"/>
            <w:gridSpan w:val="2"/>
            <w:tcBorders>
              <w:top w:val="nil"/>
              <w:left w:val="nil"/>
              <w:bottom w:val="nil"/>
              <w:right w:val="nil"/>
            </w:tcBorders>
            <w:shd w:val="clear" w:color="auto" w:fill="auto"/>
            <w:noWrap/>
            <w:vAlign w:val="bottom"/>
          </w:tcPr>
          <w:p w14:paraId="3BF54904">
            <w:pPr>
              <w:rPr>
                <w:rFonts w:hint="default" w:ascii="Arial" w:hAnsi="Arial" w:cs="Arial"/>
                <w:i w:val="0"/>
                <w:iCs w:val="0"/>
                <w:color w:val="000000"/>
                <w:sz w:val="22"/>
                <w:szCs w:val="22"/>
                <w:u w:val="none"/>
              </w:rPr>
            </w:pPr>
          </w:p>
        </w:tc>
        <w:tc>
          <w:tcPr>
            <w:tcW w:w="1727" w:type="dxa"/>
            <w:tcBorders>
              <w:top w:val="nil"/>
              <w:left w:val="nil"/>
              <w:bottom w:val="nil"/>
              <w:right w:val="nil"/>
            </w:tcBorders>
            <w:shd w:val="clear" w:color="auto" w:fill="auto"/>
            <w:vAlign w:val="center"/>
          </w:tcPr>
          <w:p w14:paraId="2BB1907B">
            <w:pPr>
              <w:keepNext w:val="0"/>
              <w:keepLines w:val="0"/>
              <w:widowControl/>
              <w:suppressLineNumbers w:val="0"/>
              <w:ind w:firstLineChars="200"/>
              <w:jc w:val="left"/>
              <w:textAlignment w:val="center"/>
              <w:rPr>
                <w:rStyle w:val="14"/>
                <w:lang w:val="en-US" w:eastAsia="zh-CN" w:bidi="ar"/>
              </w:rPr>
            </w:pPr>
          </w:p>
        </w:tc>
        <w:tc>
          <w:tcPr>
            <w:tcW w:w="1834" w:type="dxa"/>
            <w:tcBorders>
              <w:top w:val="nil"/>
              <w:left w:val="nil"/>
              <w:bottom w:val="nil"/>
              <w:right w:val="nil"/>
            </w:tcBorders>
            <w:shd w:val="clear" w:color="auto" w:fill="auto"/>
            <w:vAlign w:val="center"/>
          </w:tcPr>
          <w:p w14:paraId="31D058E5">
            <w:pPr>
              <w:keepNext w:val="0"/>
              <w:keepLines w:val="0"/>
              <w:widowControl/>
              <w:suppressLineNumbers w:val="0"/>
              <w:ind w:firstLineChars="200"/>
              <w:jc w:val="left"/>
              <w:textAlignment w:val="center"/>
              <w:rPr>
                <w:rStyle w:val="14"/>
                <w:lang w:val="en-US" w:eastAsia="zh-CN" w:bidi="ar"/>
              </w:rPr>
            </w:pPr>
          </w:p>
        </w:tc>
        <w:tc>
          <w:tcPr>
            <w:tcW w:w="4061" w:type="dxa"/>
            <w:gridSpan w:val="2"/>
            <w:tcBorders>
              <w:top w:val="nil"/>
              <w:left w:val="nil"/>
              <w:bottom w:val="nil"/>
              <w:right w:val="nil"/>
            </w:tcBorders>
            <w:shd w:val="clear" w:color="auto" w:fill="auto"/>
            <w:vAlign w:val="center"/>
          </w:tcPr>
          <w:p w14:paraId="64E2A8FB">
            <w:pPr>
              <w:keepNext w:val="0"/>
              <w:keepLines w:val="0"/>
              <w:widowControl/>
              <w:suppressLineNumbers w:val="0"/>
              <w:jc w:val="both"/>
              <w:textAlignment w:val="center"/>
              <w:rPr>
                <w:rFonts w:ascii="宋体" w:hAnsi="宋体" w:eastAsia="宋体" w:cs="宋体"/>
                <w:i w:val="0"/>
                <w:iCs w:val="0"/>
                <w:color w:val="000000"/>
                <w:sz w:val="24"/>
                <w:szCs w:val="24"/>
                <w:u w:val="none"/>
              </w:rPr>
            </w:pPr>
            <w:r>
              <w:rPr>
                <w:rStyle w:val="14"/>
                <w:sz w:val="24"/>
                <w:szCs w:val="24"/>
                <w:lang w:val="en-US" w:eastAsia="zh-CN" w:bidi="ar"/>
              </w:rPr>
              <w:t>报价单位（签章）：</w:t>
            </w:r>
          </w:p>
        </w:tc>
      </w:tr>
      <w:tr w14:paraId="4EE9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75" w:hRule="atLeast"/>
          <w:jc w:val="center"/>
        </w:trPr>
        <w:tc>
          <w:tcPr>
            <w:tcW w:w="3636" w:type="dxa"/>
            <w:gridSpan w:val="2"/>
            <w:tcBorders>
              <w:top w:val="nil"/>
              <w:left w:val="nil"/>
              <w:bottom w:val="nil"/>
              <w:right w:val="nil"/>
            </w:tcBorders>
            <w:shd w:val="clear" w:color="auto" w:fill="auto"/>
            <w:noWrap/>
            <w:vAlign w:val="bottom"/>
          </w:tcPr>
          <w:p w14:paraId="766956FA">
            <w:pPr>
              <w:rPr>
                <w:rFonts w:hint="default" w:ascii="Arial" w:hAnsi="Arial" w:cs="Arial"/>
                <w:i w:val="0"/>
                <w:iCs w:val="0"/>
                <w:color w:val="000000"/>
                <w:sz w:val="22"/>
                <w:szCs w:val="22"/>
                <w:u w:val="none"/>
              </w:rPr>
            </w:pPr>
          </w:p>
        </w:tc>
        <w:tc>
          <w:tcPr>
            <w:tcW w:w="1727" w:type="dxa"/>
            <w:tcBorders>
              <w:top w:val="nil"/>
              <w:left w:val="nil"/>
              <w:bottom w:val="nil"/>
              <w:right w:val="nil"/>
            </w:tcBorders>
            <w:shd w:val="clear" w:color="auto" w:fill="auto"/>
            <w:vAlign w:val="center"/>
          </w:tcPr>
          <w:p w14:paraId="00BFA3F3">
            <w:pPr>
              <w:keepNext w:val="0"/>
              <w:keepLines w:val="0"/>
              <w:widowControl/>
              <w:suppressLineNumbers w:val="0"/>
              <w:ind w:firstLineChars="200"/>
              <w:jc w:val="left"/>
              <w:textAlignment w:val="center"/>
              <w:rPr>
                <w:rStyle w:val="14"/>
                <w:lang w:val="en-US" w:eastAsia="zh-CN" w:bidi="ar"/>
              </w:rPr>
            </w:pPr>
          </w:p>
        </w:tc>
        <w:tc>
          <w:tcPr>
            <w:tcW w:w="1834" w:type="dxa"/>
            <w:tcBorders>
              <w:top w:val="nil"/>
              <w:left w:val="nil"/>
              <w:bottom w:val="nil"/>
              <w:right w:val="nil"/>
            </w:tcBorders>
            <w:shd w:val="clear" w:color="auto" w:fill="auto"/>
            <w:vAlign w:val="center"/>
          </w:tcPr>
          <w:p w14:paraId="5D749298">
            <w:pPr>
              <w:keepNext w:val="0"/>
              <w:keepLines w:val="0"/>
              <w:widowControl/>
              <w:suppressLineNumbers w:val="0"/>
              <w:ind w:firstLineChars="200"/>
              <w:jc w:val="left"/>
              <w:textAlignment w:val="center"/>
              <w:rPr>
                <w:rStyle w:val="14"/>
                <w:lang w:val="en-US" w:eastAsia="zh-CN" w:bidi="ar"/>
              </w:rPr>
            </w:pPr>
          </w:p>
        </w:tc>
        <w:tc>
          <w:tcPr>
            <w:tcW w:w="4061" w:type="dxa"/>
            <w:gridSpan w:val="2"/>
            <w:tcBorders>
              <w:top w:val="nil"/>
              <w:left w:val="nil"/>
              <w:bottom w:val="nil"/>
              <w:right w:val="nil"/>
            </w:tcBorders>
            <w:shd w:val="clear" w:color="auto" w:fill="auto"/>
            <w:vAlign w:val="center"/>
          </w:tcPr>
          <w:p w14:paraId="537B958F">
            <w:pPr>
              <w:keepNext w:val="0"/>
              <w:keepLines w:val="0"/>
              <w:widowControl/>
              <w:suppressLineNumbers w:val="0"/>
              <w:jc w:val="both"/>
              <w:textAlignment w:val="center"/>
              <w:rPr>
                <w:rFonts w:ascii="宋体" w:hAnsi="宋体" w:eastAsia="宋体" w:cs="宋体"/>
                <w:i w:val="0"/>
                <w:iCs w:val="0"/>
                <w:color w:val="000000"/>
                <w:sz w:val="24"/>
                <w:szCs w:val="24"/>
                <w:u w:val="none"/>
              </w:rPr>
            </w:pPr>
            <w:r>
              <w:rPr>
                <w:rStyle w:val="14"/>
                <w:sz w:val="24"/>
                <w:szCs w:val="24"/>
                <w:lang w:val="en-US" w:eastAsia="zh-CN" w:bidi="ar"/>
              </w:rPr>
              <w:t>法定代表人或授权代理人</w:t>
            </w:r>
            <w:r>
              <w:rPr>
                <w:rStyle w:val="14"/>
                <w:rFonts w:hint="eastAsia"/>
                <w:sz w:val="24"/>
                <w:szCs w:val="24"/>
                <w:lang w:val="en-US" w:eastAsia="zh-CN" w:bidi="ar"/>
              </w:rPr>
              <w:t>签章</w:t>
            </w:r>
            <w:bookmarkStart w:id="0" w:name="_GoBack"/>
            <w:bookmarkEnd w:id="0"/>
            <w:r>
              <w:rPr>
                <w:rStyle w:val="14"/>
                <w:sz w:val="24"/>
                <w:szCs w:val="24"/>
                <w:lang w:val="en-US" w:eastAsia="zh-CN" w:bidi="ar"/>
              </w:rPr>
              <w:t>：</w:t>
            </w:r>
          </w:p>
        </w:tc>
      </w:tr>
      <w:tr w14:paraId="6213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75" w:hRule="atLeast"/>
          <w:jc w:val="center"/>
        </w:trPr>
        <w:tc>
          <w:tcPr>
            <w:tcW w:w="3636" w:type="dxa"/>
            <w:gridSpan w:val="2"/>
            <w:tcBorders>
              <w:top w:val="nil"/>
              <w:left w:val="nil"/>
              <w:bottom w:val="nil"/>
              <w:right w:val="nil"/>
            </w:tcBorders>
            <w:shd w:val="clear" w:color="auto" w:fill="auto"/>
            <w:noWrap/>
            <w:vAlign w:val="bottom"/>
          </w:tcPr>
          <w:p w14:paraId="7C01598B">
            <w:pPr>
              <w:rPr>
                <w:rFonts w:hint="default" w:ascii="Arial" w:hAnsi="Arial" w:cs="Arial"/>
                <w:i w:val="0"/>
                <w:iCs w:val="0"/>
                <w:color w:val="000000"/>
                <w:sz w:val="22"/>
                <w:szCs w:val="22"/>
                <w:u w:val="none"/>
              </w:rPr>
            </w:pPr>
          </w:p>
        </w:tc>
        <w:tc>
          <w:tcPr>
            <w:tcW w:w="1727" w:type="dxa"/>
            <w:tcBorders>
              <w:top w:val="nil"/>
              <w:left w:val="nil"/>
              <w:bottom w:val="nil"/>
              <w:right w:val="nil"/>
            </w:tcBorders>
            <w:shd w:val="clear" w:color="auto" w:fill="auto"/>
            <w:vAlign w:val="center"/>
          </w:tcPr>
          <w:p w14:paraId="78166080">
            <w:pPr>
              <w:keepNext w:val="0"/>
              <w:keepLines w:val="0"/>
              <w:widowControl/>
              <w:suppressLineNumbers w:val="0"/>
              <w:ind w:firstLineChars="200"/>
              <w:jc w:val="left"/>
              <w:textAlignment w:val="center"/>
              <w:rPr>
                <w:rStyle w:val="14"/>
                <w:lang w:val="en-US" w:eastAsia="zh-CN" w:bidi="ar"/>
              </w:rPr>
            </w:pPr>
          </w:p>
        </w:tc>
        <w:tc>
          <w:tcPr>
            <w:tcW w:w="1834" w:type="dxa"/>
            <w:tcBorders>
              <w:top w:val="nil"/>
              <w:left w:val="nil"/>
              <w:bottom w:val="nil"/>
              <w:right w:val="nil"/>
            </w:tcBorders>
            <w:shd w:val="clear" w:color="auto" w:fill="auto"/>
            <w:vAlign w:val="center"/>
          </w:tcPr>
          <w:p w14:paraId="6A800886">
            <w:pPr>
              <w:keepNext w:val="0"/>
              <w:keepLines w:val="0"/>
              <w:widowControl/>
              <w:suppressLineNumbers w:val="0"/>
              <w:ind w:firstLineChars="200"/>
              <w:jc w:val="left"/>
              <w:textAlignment w:val="center"/>
              <w:rPr>
                <w:rStyle w:val="14"/>
                <w:lang w:val="en-US" w:eastAsia="zh-CN" w:bidi="ar"/>
              </w:rPr>
            </w:pPr>
          </w:p>
        </w:tc>
        <w:tc>
          <w:tcPr>
            <w:tcW w:w="4061" w:type="dxa"/>
            <w:gridSpan w:val="2"/>
            <w:tcBorders>
              <w:top w:val="nil"/>
              <w:left w:val="nil"/>
              <w:bottom w:val="nil"/>
              <w:right w:val="nil"/>
            </w:tcBorders>
            <w:shd w:val="clear" w:color="auto" w:fill="auto"/>
            <w:vAlign w:val="center"/>
          </w:tcPr>
          <w:p w14:paraId="14BDBCAC">
            <w:pPr>
              <w:keepNext w:val="0"/>
              <w:keepLines w:val="0"/>
              <w:widowControl/>
              <w:suppressLineNumbers w:val="0"/>
              <w:jc w:val="both"/>
              <w:textAlignment w:val="center"/>
              <w:rPr>
                <w:rFonts w:ascii="宋体" w:hAnsi="宋体" w:eastAsia="宋体" w:cs="宋体"/>
                <w:i w:val="0"/>
                <w:iCs w:val="0"/>
                <w:color w:val="000000"/>
                <w:sz w:val="24"/>
                <w:szCs w:val="24"/>
                <w:u w:val="none"/>
              </w:rPr>
            </w:pPr>
            <w:r>
              <w:rPr>
                <w:rStyle w:val="14"/>
                <w:sz w:val="24"/>
                <w:szCs w:val="24"/>
                <w:lang w:val="en-US" w:eastAsia="zh-CN" w:bidi="ar"/>
              </w:rPr>
              <w:t>联系人电话：</w:t>
            </w:r>
          </w:p>
        </w:tc>
      </w:tr>
      <w:tr w14:paraId="62E3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75" w:hRule="atLeast"/>
          <w:jc w:val="center"/>
        </w:trPr>
        <w:tc>
          <w:tcPr>
            <w:tcW w:w="3636" w:type="dxa"/>
            <w:gridSpan w:val="2"/>
            <w:tcBorders>
              <w:top w:val="nil"/>
              <w:left w:val="nil"/>
              <w:bottom w:val="nil"/>
              <w:right w:val="nil"/>
            </w:tcBorders>
            <w:shd w:val="clear" w:color="auto" w:fill="auto"/>
            <w:noWrap/>
            <w:vAlign w:val="bottom"/>
          </w:tcPr>
          <w:p w14:paraId="0F6441DB">
            <w:pPr>
              <w:rPr>
                <w:rFonts w:hint="default" w:ascii="Arial" w:hAnsi="Arial" w:cs="Arial"/>
                <w:i w:val="0"/>
                <w:iCs w:val="0"/>
                <w:color w:val="000000"/>
                <w:sz w:val="22"/>
                <w:szCs w:val="22"/>
                <w:u w:val="none"/>
              </w:rPr>
            </w:pPr>
          </w:p>
        </w:tc>
        <w:tc>
          <w:tcPr>
            <w:tcW w:w="1727" w:type="dxa"/>
            <w:tcBorders>
              <w:top w:val="nil"/>
              <w:left w:val="nil"/>
              <w:bottom w:val="nil"/>
              <w:right w:val="nil"/>
            </w:tcBorders>
            <w:shd w:val="clear" w:color="auto" w:fill="auto"/>
            <w:vAlign w:val="top"/>
          </w:tcPr>
          <w:p w14:paraId="07712567">
            <w:pPr>
              <w:keepNext w:val="0"/>
              <w:keepLines w:val="0"/>
              <w:widowControl/>
              <w:suppressLineNumbers w:val="0"/>
              <w:ind w:firstLineChars="200"/>
              <w:jc w:val="left"/>
              <w:textAlignment w:val="top"/>
              <w:rPr>
                <w:rStyle w:val="14"/>
                <w:lang w:val="en-US" w:eastAsia="zh-CN" w:bidi="ar"/>
              </w:rPr>
            </w:pPr>
          </w:p>
        </w:tc>
        <w:tc>
          <w:tcPr>
            <w:tcW w:w="1834" w:type="dxa"/>
            <w:tcBorders>
              <w:top w:val="nil"/>
              <w:left w:val="nil"/>
              <w:bottom w:val="nil"/>
              <w:right w:val="nil"/>
            </w:tcBorders>
            <w:shd w:val="clear" w:color="auto" w:fill="auto"/>
            <w:vAlign w:val="top"/>
          </w:tcPr>
          <w:p w14:paraId="79E5411D">
            <w:pPr>
              <w:keepNext w:val="0"/>
              <w:keepLines w:val="0"/>
              <w:widowControl/>
              <w:suppressLineNumbers w:val="0"/>
              <w:ind w:firstLineChars="200"/>
              <w:jc w:val="left"/>
              <w:textAlignment w:val="top"/>
              <w:rPr>
                <w:rStyle w:val="14"/>
                <w:lang w:val="en-US" w:eastAsia="zh-CN" w:bidi="ar"/>
              </w:rPr>
            </w:pPr>
          </w:p>
        </w:tc>
        <w:tc>
          <w:tcPr>
            <w:tcW w:w="4061" w:type="dxa"/>
            <w:gridSpan w:val="2"/>
            <w:tcBorders>
              <w:top w:val="nil"/>
              <w:left w:val="nil"/>
              <w:bottom w:val="nil"/>
              <w:right w:val="nil"/>
            </w:tcBorders>
            <w:shd w:val="clear" w:color="auto" w:fill="auto"/>
            <w:vAlign w:val="center"/>
          </w:tcPr>
          <w:p w14:paraId="0BE3A073">
            <w:pPr>
              <w:keepNext w:val="0"/>
              <w:keepLines w:val="0"/>
              <w:widowControl/>
              <w:suppressLineNumbers w:val="0"/>
              <w:jc w:val="both"/>
              <w:textAlignment w:val="top"/>
              <w:rPr>
                <w:rFonts w:ascii="宋体" w:hAnsi="宋体" w:eastAsia="宋体" w:cs="宋体"/>
                <w:i w:val="0"/>
                <w:iCs w:val="0"/>
                <w:color w:val="000000"/>
                <w:sz w:val="24"/>
                <w:szCs w:val="24"/>
                <w:u w:val="none"/>
              </w:rPr>
            </w:pPr>
            <w:r>
              <w:rPr>
                <w:rStyle w:val="14"/>
                <w:sz w:val="24"/>
                <w:szCs w:val="24"/>
                <w:lang w:val="en-US" w:eastAsia="zh-CN" w:bidi="ar"/>
              </w:rPr>
              <w:t>日      期：</w:t>
            </w:r>
          </w:p>
        </w:tc>
      </w:tr>
    </w:tbl>
    <w:p w14:paraId="06AA4B24">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4D49C"/>
    <w:multiLevelType w:val="singleLevel"/>
    <w:tmpl w:val="D364D49C"/>
    <w:lvl w:ilvl="0" w:tentative="0">
      <w:start w:val="1"/>
      <w:numFmt w:val="decimal"/>
      <w:suff w:val="nothing"/>
      <w:lvlText w:val="%1、"/>
      <w:lvlJc w:val="left"/>
    </w:lvl>
  </w:abstractNum>
  <w:abstractNum w:abstractNumId="1">
    <w:nsid w:val="74616CE2"/>
    <w:multiLevelType w:val="singleLevel"/>
    <w:tmpl w:val="74616CE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C55F3"/>
    <w:rsid w:val="1A403577"/>
    <w:rsid w:val="24B44889"/>
    <w:rsid w:val="269D567F"/>
    <w:rsid w:val="2CC55815"/>
    <w:rsid w:val="38E32C26"/>
    <w:rsid w:val="3A464DB0"/>
    <w:rsid w:val="3B40257B"/>
    <w:rsid w:val="44421D37"/>
    <w:rsid w:val="480175E9"/>
    <w:rsid w:val="4BF41FF0"/>
    <w:rsid w:val="4EA73CFE"/>
    <w:rsid w:val="6378730A"/>
    <w:rsid w:val="651F307E"/>
    <w:rsid w:val="71FF0690"/>
    <w:rsid w:val="7800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大标题"/>
    <w:basedOn w:val="1"/>
    <w:qFormat/>
    <w:uiPriority w:val="0"/>
    <w:pPr>
      <w:spacing w:before="187"/>
      <w:jc w:val="center"/>
    </w:pPr>
    <w:rPr>
      <w:rFonts w:hint="eastAsia" w:ascii="方正小标宋简体" w:hAnsi="方正小标宋简体" w:eastAsia="方正小标宋简体" w:cs="方正小标宋简体"/>
      <w:b/>
      <w:sz w:val="44"/>
      <w:szCs w:val="44"/>
      <w:lang w:val="zh-CN" w:bidi="zh-CN"/>
    </w:r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31"/>
    <w:basedOn w:val="3"/>
    <w:qFormat/>
    <w:uiPriority w:val="0"/>
    <w:rPr>
      <w:rFonts w:hint="eastAsia" w:ascii="等线" w:hAnsi="等线" w:eastAsia="等线" w:cs="等线"/>
      <w:b/>
      <w:bCs/>
      <w:color w:val="000000"/>
      <w:sz w:val="40"/>
      <w:szCs w:val="40"/>
      <w:u w:val="none"/>
    </w:rPr>
  </w:style>
  <w:style w:type="character" w:customStyle="1" w:styleId="8">
    <w:name w:val="font41"/>
    <w:basedOn w:val="3"/>
    <w:qFormat/>
    <w:uiPriority w:val="0"/>
    <w:rPr>
      <w:rFonts w:hint="eastAsia" w:ascii="宋体" w:hAnsi="宋体" w:eastAsia="宋体" w:cs="宋体"/>
      <w:b/>
      <w:bCs/>
      <w:color w:val="000000"/>
      <w:sz w:val="32"/>
      <w:szCs w:val="32"/>
      <w:u w:val="none"/>
    </w:rPr>
  </w:style>
  <w:style w:type="character" w:customStyle="1" w:styleId="9">
    <w:name w:val="font51"/>
    <w:basedOn w:val="3"/>
    <w:qFormat/>
    <w:uiPriority w:val="0"/>
    <w:rPr>
      <w:rFonts w:hint="eastAsia" w:ascii="仿宋" w:hAnsi="仿宋" w:eastAsia="仿宋" w:cs="仿宋"/>
      <w:b/>
      <w:bCs/>
      <w:color w:val="000000"/>
      <w:sz w:val="30"/>
      <w:szCs w:val="30"/>
      <w:u w:val="none"/>
    </w:rPr>
  </w:style>
  <w:style w:type="character" w:customStyle="1" w:styleId="10">
    <w:name w:val="font61"/>
    <w:basedOn w:val="3"/>
    <w:qFormat/>
    <w:uiPriority w:val="0"/>
    <w:rPr>
      <w:rFonts w:hint="eastAsia" w:ascii="微软雅黑" w:hAnsi="微软雅黑" w:eastAsia="微软雅黑" w:cs="微软雅黑"/>
      <w:color w:val="000000"/>
      <w:sz w:val="22"/>
      <w:szCs w:val="22"/>
      <w:u w:val="none"/>
    </w:rPr>
  </w:style>
  <w:style w:type="character" w:customStyle="1" w:styleId="11">
    <w:name w:val="font71"/>
    <w:basedOn w:val="3"/>
    <w:qFormat/>
    <w:uiPriority w:val="0"/>
    <w:rPr>
      <w:rFonts w:hint="eastAsia" w:ascii="仿宋" w:hAnsi="仿宋" w:eastAsia="仿宋" w:cs="仿宋"/>
      <w:color w:val="000000"/>
      <w:sz w:val="28"/>
      <w:szCs w:val="28"/>
      <w:u w:val="none"/>
    </w:rPr>
  </w:style>
  <w:style w:type="character" w:customStyle="1" w:styleId="12">
    <w:name w:val="font81"/>
    <w:basedOn w:val="3"/>
    <w:qFormat/>
    <w:uiPriority w:val="0"/>
    <w:rPr>
      <w:rFonts w:hint="default" w:ascii="Arial" w:hAnsi="Arial" w:cs="Arial"/>
      <w:color w:val="000000"/>
      <w:sz w:val="19"/>
      <w:szCs w:val="19"/>
      <w:u w:val="none"/>
    </w:rPr>
  </w:style>
  <w:style w:type="character" w:customStyle="1" w:styleId="13">
    <w:name w:val="font91"/>
    <w:basedOn w:val="3"/>
    <w:qFormat/>
    <w:uiPriority w:val="0"/>
    <w:rPr>
      <w:rFonts w:ascii="宋体" w:hAnsi="宋体" w:eastAsia="宋体" w:cs="宋体"/>
      <w:color w:val="000000"/>
      <w:sz w:val="28"/>
      <w:szCs w:val="28"/>
      <w:u w:val="none"/>
    </w:rPr>
  </w:style>
  <w:style w:type="character" w:customStyle="1" w:styleId="14">
    <w:name w:val="font101"/>
    <w:basedOn w:val="3"/>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1333</Words>
  <Characters>1358</Characters>
  <Lines>0</Lines>
  <Paragraphs>0</Paragraphs>
  <TotalTime>32</TotalTime>
  <ScaleCrop>false</ScaleCrop>
  <LinksUpToDate>false</LinksUpToDate>
  <CharactersWithSpaces>1364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2024-01-05T09:45:00Z</dcterms:created>
  <dc:creator>123</dc:creator>
  <cp:lastModifiedBy>吴佳南</cp:lastModifiedBy>
  <dcterms:modified xsi:type="dcterms:W3CDTF">2026-01-13T08:53:07Z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EA0D5115116B4C5EA3FC578B4B0B1346_12</vt:lpwstr>
  </property>
  <property fmtid="{D5CDD505-2E9C-101B-9397-08002B2CF9AE}" pid="4" name="KSOTemplateDocerSaveRecord">
    <vt:lpwstr>eyJoZGlkIjoiMTAyNmQ1YTU5MWJlYWQzMjEzNTU2N2M4MmU1NmRiODIiLCJ1c2VySWQiOiIxNzg0MDA4MjE0In0=</vt:lpwstr>
  </property>
</Properties>
</file>