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val="0"/>
          <w:bCs/>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一、项目基本情况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723" w:type="dxa"/>
          </w:tcPr>
          <w:p w14:paraId="006DFF07">
            <w:pPr>
              <w:spacing w:line="360" w:lineRule="auto"/>
              <w:jc w:val="center"/>
              <w:rPr>
                <w:rFonts w:hint="eastAsia" w:ascii="仿宋_GB2312" w:hAnsi="仿宋_GB2312" w:eastAsia="仿宋_GB2312" w:cs="仿宋_GB2312"/>
                <w:color w:val="auto"/>
                <w:sz w:val="28"/>
                <w:szCs w:val="28"/>
                <w:lang w:val="en-US" w:eastAsia="zh-CN"/>
              </w:rPr>
            </w:pPr>
            <w:permStart w:id="0"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iCs/>
                <w:color w:val="auto"/>
                <w:sz w:val="28"/>
                <w:szCs w:val="28"/>
                <w:highlight w:val="none"/>
                <w:lang w:val="en-US" w:eastAsia="zh-CN"/>
              </w:rPr>
              <w:t>中山市口腔医院2026年工会会员及离退休职工生日蛋糕券采购</w:t>
            </w:r>
            <w:r>
              <w:rPr>
                <w:rFonts w:hint="eastAsia" w:ascii="仿宋_GB2312" w:hAnsi="仿宋_GB2312" w:eastAsia="仿宋_GB2312" w:cs="仿宋_GB2312"/>
                <w:color w:val="auto"/>
                <w:sz w:val="28"/>
                <w:szCs w:val="28"/>
                <w:highlight w:val="yellow"/>
                <w:lang w:val="en-US" w:eastAsia="zh-CN"/>
              </w:rPr>
              <w:t xml:space="preserve"> </w:t>
            </w:r>
            <w:r>
              <w:rPr>
                <w:rFonts w:hint="eastAsia" w:ascii="仿宋_GB2312" w:hAnsi="仿宋_GB2312" w:eastAsia="仿宋_GB2312" w:cs="仿宋_GB2312"/>
                <w:color w:val="auto"/>
                <w:sz w:val="28"/>
                <w:szCs w:val="28"/>
                <w:lang w:val="en-US" w:eastAsia="zh-CN"/>
              </w:rPr>
              <w:t xml:space="preserve"> </w:t>
            </w:r>
            <w:permEnd w:id="0"/>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5723" w:type="dxa"/>
          </w:tcPr>
          <w:p w14:paraId="4D49B931">
            <w:pPr>
              <w:spacing w:line="360" w:lineRule="auto"/>
              <w:jc w:val="center"/>
              <w:rPr>
                <w:rFonts w:hint="eastAsia" w:ascii="仿宋_GB2312" w:hAnsi="仿宋_GB2312" w:eastAsia="仿宋_GB2312" w:cs="仿宋_GB2312"/>
                <w:color w:val="auto"/>
                <w:sz w:val="28"/>
                <w:szCs w:val="28"/>
              </w:rPr>
            </w:pPr>
            <w:permStart w:id="1"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iCs/>
                <w:color w:val="auto"/>
                <w:sz w:val="28"/>
                <w:szCs w:val="28"/>
                <w:highlight w:val="yellow"/>
                <w:lang w:val="en-US" w:eastAsia="zh-CN"/>
              </w:rPr>
              <w:t>79800元</w:t>
            </w:r>
            <w:r>
              <w:rPr>
                <w:rFonts w:hint="eastAsia" w:ascii="仿宋_GB2312" w:hAnsi="仿宋_GB2312" w:eastAsia="仿宋_GB2312" w:cs="仿宋_GB2312"/>
                <w:color w:val="auto"/>
                <w:sz w:val="28"/>
                <w:szCs w:val="28"/>
                <w:lang w:val="en-US" w:eastAsia="zh-CN"/>
              </w:rPr>
              <w:t xml:space="preserve">  </w:t>
            </w:r>
            <w:permEnd w:id="1"/>
          </w:p>
        </w:tc>
      </w:tr>
    </w:tbl>
    <w:p w14:paraId="2A81CF6C">
      <w:pPr>
        <w:pStyle w:val="18"/>
        <w:widowControl/>
        <w:numPr>
          <w:ilvl w:val="0"/>
          <w:numId w:val="1"/>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采购清单</w:t>
      </w:r>
    </w:p>
    <w:tbl>
      <w:tblPr>
        <w:tblStyle w:val="12"/>
        <w:tblpPr w:leftFromText="180" w:rightFromText="180" w:vertAnchor="text" w:horzAnchor="page" w:tblpX="856" w:tblpY="614"/>
        <w:tblOverlap w:val="never"/>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462"/>
        <w:gridCol w:w="799"/>
        <w:gridCol w:w="864"/>
        <w:gridCol w:w="1609"/>
        <w:gridCol w:w="1614"/>
        <w:gridCol w:w="2233"/>
      </w:tblGrid>
      <w:tr w14:paraId="54DF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85" w:type="dxa"/>
            <w:shd w:val="clear" w:color="auto" w:fill="FFFFFF"/>
            <w:tcMar>
              <w:top w:w="0" w:type="dxa"/>
              <w:right w:w="0" w:type="dxa"/>
            </w:tcMar>
            <w:vAlign w:val="center"/>
          </w:tcPr>
          <w:p w14:paraId="1084757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2462" w:type="dxa"/>
            <w:shd w:val="clear" w:color="auto" w:fill="FFFFFF"/>
            <w:tcMar>
              <w:top w:w="0" w:type="dxa"/>
              <w:right w:w="0" w:type="dxa"/>
            </w:tcMar>
            <w:vAlign w:val="center"/>
          </w:tcPr>
          <w:p w14:paraId="043418F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799" w:type="dxa"/>
            <w:shd w:val="clear" w:color="auto" w:fill="FFFFFF"/>
            <w:tcMar>
              <w:top w:w="0" w:type="dxa"/>
              <w:right w:w="0" w:type="dxa"/>
            </w:tcMar>
            <w:vAlign w:val="center"/>
          </w:tcPr>
          <w:p w14:paraId="4C713B5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864" w:type="dxa"/>
            <w:shd w:val="clear" w:color="auto" w:fill="FFFFFF"/>
            <w:tcMar>
              <w:top w:w="0" w:type="dxa"/>
              <w:right w:w="0" w:type="dxa"/>
            </w:tcMar>
            <w:vAlign w:val="center"/>
          </w:tcPr>
          <w:p w14:paraId="49AA2E7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609" w:type="dxa"/>
            <w:shd w:val="clear" w:color="auto" w:fill="FFFFFF"/>
            <w:tcMar>
              <w:top w:w="0" w:type="dxa"/>
              <w:right w:w="0" w:type="dxa"/>
            </w:tcMar>
            <w:vAlign w:val="center"/>
          </w:tcPr>
          <w:p w14:paraId="30B8D6C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结算固定</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单价（元）</w:t>
            </w:r>
          </w:p>
        </w:tc>
        <w:tc>
          <w:tcPr>
            <w:tcW w:w="1614" w:type="dxa"/>
            <w:shd w:val="clear" w:color="auto" w:fill="FFFFFF"/>
            <w:tcMar>
              <w:top w:w="0" w:type="dxa"/>
              <w:right w:w="0" w:type="dxa"/>
            </w:tcMar>
            <w:vAlign w:val="center"/>
          </w:tcPr>
          <w:p w14:paraId="6966963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产品价值</w:t>
            </w:r>
          </w:p>
        </w:tc>
        <w:tc>
          <w:tcPr>
            <w:tcW w:w="2233" w:type="dxa"/>
            <w:shd w:val="clear" w:color="auto" w:fill="FFFFFF"/>
            <w:tcMar>
              <w:top w:w="0" w:type="dxa"/>
              <w:right w:w="0" w:type="dxa"/>
            </w:tcMar>
            <w:vAlign w:val="center"/>
          </w:tcPr>
          <w:p w14:paraId="18CBCF6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服务期限</w:t>
            </w:r>
          </w:p>
        </w:tc>
      </w:tr>
      <w:tr w14:paraId="7A5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85" w:type="dxa"/>
            <w:shd w:val="clear" w:color="auto" w:fill="FFFFFF"/>
            <w:tcMar>
              <w:top w:w="0" w:type="dxa"/>
              <w:right w:w="0" w:type="dxa"/>
            </w:tcMar>
            <w:vAlign w:val="center"/>
          </w:tcPr>
          <w:p w14:paraId="5E3562D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8"/>
                <w:szCs w:val="28"/>
                <w:highlight w:val="none"/>
                <w:lang w:val="en-US" w:eastAsia="zh-CN"/>
              </w:rPr>
            </w:pPr>
            <w:permStart w:id="2" w:edGrp="everyone" w:colFirst="0" w:colLast="0"/>
            <w:permStart w:id="3" w:edGrp="everyone" w:colFirst="1" w:colLast="1"/>
            <w:permStart w:id="4" w:edGrp="everyone" w:colFirst="2" w:colLast="2"/>
            <w:permStart w:id="5" w:edGrp="everyone" w:colFirst="3" w:colLast="3"/>
            <w:r>
              <w:rPr>
                <w:rFonts w:hint="eastAsia" w:ascii="仿宋_GB2312" w:hAnsi="仿宋_GB2312" w:eastAsia="仿宋_GB2312" w:cs="仿宋_GB2312"/>
                <w:color w:val="auto"/>
                <w:kern w:val="0"/>
                <w:sz w:val="28"/>
                <w:szCs w:val="28"/>
                <w:highlight w:val="none"/>
                <w:lang w:val="en-US" w:eastAsia="zh-CN"/>
              </w:rPr>
              <w:t>1</w:t>
            </w:r>
          </w:p>
        </w:tc>
        <w:tc>
          <w:tcPr>
            <w:tcW w:w="2462" w:type="dxa"/>
            <w:shd w:val="clear" w:color="auto" w:fill="FFFFFF"/>
            <w:tcMar>
              <w:top w:w="0" w:type="dxa"/>
              <w:right w:w="0" w:type="dxa"/>
            </w:tcMar>
            <w:vAlign w:val="center"/>
          </w:tcPr>
          <w:p w14:paraId="35EE830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iCs/>
                <w:color w:val="auto"/>
                <w:sz w:val="28"/>
                <w:szCs w:val="28"/>
                <w:highlight w:val="none"/>
                <w:lang w:val="en-US" w:eastAsia="zh-CN"/>
              </w:rPr>
              <w:t>中山市口腔医院2026年工会会员及离退休职工生日蛋糕券采购</w:t>
            </w:r>
          </w:p>
        </w:tc>
        <w:tc>
          <w:tcPr>
            <w:tcW w:w="799" w:type="dxa"/>
            <w:shd w:val="clear" w:color="auto" w:fill="FFFFFF"/>
            <w:tcMar>
              <w:top w:w="0" w:type="dxa"/>
              <w:right w:w="0" w:type="dxa"/>
            </w:tcMar>
            <w:vAlign w:val="center"/>
          </w:tcPr>
          <w:p w14:paraId="6323473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iCs/>
                <w:color w:val="auto"/>
                <w:sz w:val="28"/>
                <w:szCs w:val="28"/>
                <w:highlight w:val="none"/>
                <w:lang w:val="en-US" w:eastAsia="zh-CN"/>
              </w:rPr>
              <w:t>张</w:t>
            </w:r>
          </w:p>
        </w:tc>
        <w:tc>
          <w:tcPr>
            <w:tcW w:w="864" w:type="dxa"/>
            <w:shd w:val="clear" w:color="auto" w:fill="FFFFFF"/>
            <w:tcMar>
              <w:top w:w="0" w:type="dxa"/>
              <w:right w:w="0" w:type="dxa"/>
            </w:tcMar>
            <w:vAlign w:val="center"/>
          </w:tcPr>
          <w:p w14:paraId="5F5B1DE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iCs/>
                <w:color w:val="auto"/>
                <w:sz w:val="28"/>
                <w:szCs w:val="28"/>
                <w:highlight w:val="none"/>
                <w:lang w:val="en-US" w:eastAsia="zh-CN"/>
              </w:rPr>
              <w:t>约266</w:t>
            </w:r>
          </w:p>
        </w:tc>
        <w:tc>
          <w:tcPr>
            <w:tcW w:w="1609" w:type="dxa"/>
            <w:shd w:val="clear" w:color="auto" w:fill="FFFFFF"/>
            <w:tcMar>
              <w:top w:w="0" w:type="dxa"/>
              <w:right w:w="0" w:type="dxa"/>
            </w:tcMar>
            <w:vAlign w:val="center"/>
          </w:tcPr>
          <w:p w14:paraId="52E4E27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iCs/>
                <w:color w:val="auto"/>
                <w:sz w:val="28"/>
                <w:szCs w:val="28"/>
                <w:highlight w:val="none"/>
                <w:lang w:val="en-US" w:eastAsia="zh-CN"/>
              </w:rPr>
            </w:pPr>
            <w:r>
              <w:rPr>
                <w:rFonts w:hint="eastAsia" w:ascii="仿宋_GB2312" w:hAnsi="仿宋_GB2312" w:eastAsia="仿宋_GB2312" w:cs="仿宋_GB2312"/>
                <w:i/>
                <w:iCs/>
                <w:color w:val="auto"/>
                <w:sz w:val="28"/>
                <w:szCs w:val="28"/>
                <w:highlight w:val="none"/>
                <w:lang w:val="en-US" w:eastAsia="zh-CN"/>
              </w:rPr>
              <w:t>结算固定单价均为300元/张</w:t>
            </w:r>
          </w:p>
        </w:tc>
        <w:tc>
          <w:tcPr>
            <w:tcW w:w="1614" w:type="dxa"/>
            <w:shd w:val="clear" w:color="auto" w:fill="FFFFFF"/>
            <w:tcMar>
              <w:top w:w="0" w:type="dxa"/>
              <w:right w:w="0" w:type="dxa"/>
            </w:tcMar>
            <w:vAlign w:val="center"/>
          </w:tcPr>
          <w:p w14:paraId="7BE32C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iCs/>
                <w:color w:val="auto"/>
                <w:sz w:val="28"/>
                <w:szCs w:val="28"/>
                <w:highlight w:val="none"/>
                <w:lang w:val="en-US" w:eastAsia="zh-CN"/>
              </w:rPr>
            </w:pPr>
            <w:r>
              <w:rPr>
                <w:rFonts w:hint="eastAsia" w:ascii="仿宋_GB2312" w:hAnsi="仿宋_GB2312" w:eastAsia="仿宋_GB2312" w:cs="仿宋_GB2312"/>
                <w:i/>
                <w:iCs/>
                <w:color w:val="auto"/>
                <w:sz w:val="28"/>
                <w:szCs w:val="28"/>
                <w:highlight w:val="none"/>
                <w:lang w:val="en-US" w:eastAsia="zh-CN"/>
              </w:rPr>
              <w:t>总价值≥300元/张。</w:t>
            </w:r>
          </w:p>
        </w:tc>
        <w:tc>
          <w:tcPr>
            <w:tcW w:w="2233" w:type="dxa"/>
            <w:shd w:val="clear" w:color="auto" w:fill="FFFFFF"/>
            <w:tcMar>
              <w:top w:w="0" w:type="dxa"/>
              <w:right w:w="0" w:type="dxa"/>
            </w:tcMar>
            <w:vAlign w:val="center"/>
          </w:tcPr>
          <w:p w14:paraId="4B22894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iCs/>
                <w:color w:val="auto"/>
                <w:sz w:val="28"/>
                <w:szCs w:val="28"/>
                <w:highlight w:val="none"/>
                <w:lang w:val="en-US" w:eastAsia="zh-CN"/>
              </w:rPr>
            </w:pPr>
            <w:r>
              <w:rPr>
                <w:rFonts w:hint="eastAsia" w:ascii="仿宋_GB2312" w:hAnsi="仿宋_GB2312" w:eastAsia="仿宋_GB2312" w:cs="仿宋_GB2312"/>
                <w:i/>
                <w:iCs/>
                <w:color w:val="auto"/>
                <w:sz w:val="28"/>
                <w:szCs w:val="28"/>
                <w:highlight w:val="none"/>
                <w:lang w:val="en-US" w:eastAsia="zh-CN"/>
              </w:rPr>
              <w:t>具体起始时间以合同签订至2026年12月31日止。</w:t>
            </w:r>
          </w:p>
        </w:tc>
      </w:tr>
      <w:permEnd w:id="2"/>
      <w:permEnd w:id="3"/>
      <w:permEnd w:id="4"/>
      <w:permEnd w:id="5"/>
    </w:tbl>
    <w:p w14:paraId="4CFB942C">
      <w:pPr>
        <w:pStyle w:val="18"/>
        <w:widowControl/>
        <w:numPr>
          <w:ilvl w:val="0"/>
          <w:numId w:val="0"/>
        </w:numPr>
        <w:spacing w:line="360" w:lineRule="auto"/>
        <w:ind w:leftChars="0"/>
        <w:jc w:val="left"/>
        <w:rPr>
          <w:rFonts w:hint="eastAsia" w:ascii="仿宋_GB2312" w:hAnsi="仿宋_GB2312" w:eastAsia="仿宋_GB2312" w:cs="仿宋_GB2312"/>
          <w:b/>
          <w:bCs w:val="0"/>
          <w:color w:val="auto"/>
          <w:kern w:val="2"/>
          <w:sz w:val="28"/>
          <w:szCs w:val="28"/>
          <w:lang w:val="en-US" w:eastAsia="zh-CN" w:bidi="ar-SA"/>
        </w:rPr>
      </w:pPr>
    </w:p>
    <w:p w14:paraId="6D966B24">
      <w:pPr>
        <w:pStyle w:val="18"/>
        <w:widowControl/>
        <w:numPr>
          <w:ilvl w:val="0"/>
          <w:numId w:val="2"/>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技术要求</w:t>
      </w:r>
    </w:p>
    <w:tbl>
      <w:tblPr>
        <w:tblStyle w:val="1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131"/>
      </w:tblGrid>
      <w:tr w14:paraId="742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607" w:type="dxa"/>
            <w:noWrap w:val="0"/>
            <w:vAlign w:val="center"/>
          </w:tcPr>
          <w:p w14:paraId="65731A3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序号</w:t>
            </w:r>
          </w:p>
        </w:tc>
        <w:tc>
          <w:tcPr>
            <w:tcW w:w="7131" w:type="dxa"/>
            <w:noWrap w:val="0"/>
            <w:vAlign w:val="center"/>
          </w:tcPr>
          <w:p w14:paraId="356C37E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FF0000"/>
                <w:sz w:val="28"/>
                <w:szCs w:val="28"/>
                <w:highlight w:val="yellow"/>
                <w:lang w:val="en-US" w:eastAsia="zh-CN"/>
              </w:rPr>
            </w:pPr>
            <w:r>
              <w:rPr>
                <w:rFonts w:hint="eastAsia" w:ascii="仿宋_GB2312" w:hAnsi="仿宋_GB2312" w:eastAsia="仿宋_GB2312" w:cs="仿宋_GB2312"/>
                <w:b/>
                <w:bCs/>
                <w:color w:val="auto"/>
                <w:kern w:val="0"/>
                <w:sz w:val="28"/>
                <w:szCs w:val="28"/>
                <w:lang w:val="en-US" w:eastAsia="zh-CN"/>
              </w:rPr>
              <w:t>技术参数要求</w:t>
            </w:r>
          </w:p>
        </w:tc>
      </w:tr>
      <w:tr w14:paraId="50B7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1607" w:type="dxa"/>
            <w:noWrap w:val="0"/>
            <w:vAlign w:val="center"/>
          </w:tcPr>
          <w:p w14:paraId="3DF4F39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7131" w:type="dxa"/>
            <w:noWrap w:val="0"/>
            <w:vAlign w:val="center"/>
          </w:tcPr>
          <w:p w14:paraId="4AF9C9E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蛋糕券非一次性消费使用，可在成交供应商提供的线上、线下所有门店多次直接使用并购买所有在架、在售商品，蛋糕券享有与现金消费同等优惠待遇，享受同时期门店的各种优惠、促销活动等。（如是第三方电商平台，需提供与实体店合作合同，需在报价文件中提供合同复印件。）</w:t>
            </w:r>
          </w:p>
        </w:tc>
      </w:tr>
      <w:tr w14:paraId="5D9B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607" w:type="dxa"/>
            <w:noWrap w:val="0"/>
            <w:vAlign w:val="center"/>
          </w:tcPr>
          <w:p w14:paraId="3989AB7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7131" w:type="dxa"/>
            <w:noWrap w:val="0"/>
            <w:vAlign w:val="center"/>
          </w:tcPr>
          <w:p w14:paraId="700EABC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蛋糕券有效使用期自交付验收合格之日起不少于24个月，若在质保期内出现无法正常使用（含过期失效）情形，供应商须免费办理延期或更换手续，直至蛋糕券余额用完即止，以确保职工权益不受影响。质保期内的服务响应时间：接到采购方通知后2小时内响应，24小时内提出解决方案，3日内完成处理。</w:t>
            </w:r>
          </w:p>
        </w:tc>
      </w:tr>
      <w:tr w14:paraId="1D3E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607" w:type="dxa"/>
            <w:noWrap w:val="0"/>
            <w:vAlign w:val="center"/>
          </w:tcPr>
          <w:p w14:paraId="0274C18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7131" w:type="dxa"/>
            <w:noWrap w:val="0"/>
            <w:vAlign w:val="center"/>
          </w:tcPr>
          <w:p w14:paraId="36C7939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在履行合同服务期间，成交供货商所提供的消费门店不能正常使用，经双方协商无效，蛋糕券使用人可要求退款，成交供应商负责将蛋糕券使用人未消费的金额按折扣率折算后退回蛋糕券使用人。</w:t>
            </w:r>
          </w:p>
        </w:tc>
      </w:tr>
      <w:tr w14:paraId="0883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607" w:type="dxa"/>
            <w:noWrap w:val="0"/>
            <w:vAlign w:val="center"/>
          </w:tcPr>
          <w:p w14:paraId="4E6469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7131" w:type="dxa"/>
            <w:noWrap w:val="0"/>
            <w:vAlign w:val="center"/>
          </w:tcPr>
          <w:p w14:paraId="76258AF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产品要求：实体IC卡，卡面由中标供货商提供设计方案，经采购人确认后印制。</w:t>
            </w:r>
          </w:p>
          <w:p w14:paraId="72A4728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设计要求：体现采购人单位文化元素，含采购人单位Logo及生日祝福语，工艺精美，防伪二维码等。</w:t>
            </w:r>
          </w:p>
        </w:tc>
      </w:tr>
      <w:tr w14:paraId="43F6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607" w:type="dxa"/>
            <w:noWrap w:val="0"/>
            <w:vAlign w:val="center"/>
          </w:tcPr>
          <w:p w14:paraId="1C92F9B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7131" w:type="dxa"/>
            <w:noWrap w:val="0"/>
            <w:vAlign w:val="center"/>
          </w:tcPr>
          <w:p w14:paraId="6C99DD9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范围要求：蛋糕券须支持石岐区及中山市范围内多家不同品牌连锁实体门店使用。</w:t>
            </w:r>
          </w:p>
        </w:tc>
      </w:tr>
      <w:tr w14:paraId="7A0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607" w:type="dxa"/>
            <w:noWrap w:val="0"/>
            <w:vAlign w:val="center"/>
          </w:tcPr>
          <w:p w14:paraId="35105C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7131" w:type="dxa"/>
            <w:noWrap w:val="0"/>
            <w:vAlign w:val="center"/>
          </w:tcPr>
          <w:p w14:paraId="48EC98F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门店数量要求：蛋糕券兑换门店必须在中山市范围内，且至少在石岐区内不少于4家蛋糕面包品牌门店。</w:t>
            </w:r>
          </w:p>
        </w:tc>
      </w:tr>
      <w:tr w14:paraId="21E4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607" w:type="dxa"/>
            <w:noWrap w:val="0"/>
            <w:vAlign w:val="center"/>
          </w:tcPr>
          <w:p w14:paraId="08419AD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w:t>
            </w:r>
          </w:p>
        </w:tc>
        <w:tc>
          <w:tcPr>
            <w:tcW w:w="7131" w:type="dxa"/>
            <w:noWrap w:val="0"/>
            <w:vAlign w:val="center"/>
          </w:tcPr>
          <w:p w14:paraId="3D38230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产品种类要求：供应商须保证蛋糕券能兑换符合要求的蛋糕种类不少于10种。需附蛋糕图片彩页并加盖供应商公章（提交报价文件时须同时提供）。所有兑换产品须确保食品品质质量，符合国家相关食品安全标准。</w:t>
            </w:r>
          </w:p>
        </w:tc>
      </w:tr>
    </w:tbl>
    <w:p w14:paraId="6FCC2904">
      <w:pPr>
        <w:pStyle w:val="18"/>
        <w:widowControl/>
        <w:numPr>
          <w:ilvl w:val="0"/>
          <w:numId w:val="0"/>
        </w:numPr>
        <w:spacing w:line="360" w:lineRule="auto"/>
        <w:ind w:leftChars="0"/>
        <w:jc w:val="left"/>
        <w:rPr>
          <w:rFonts w:hint="eastAsia" w:ascii="仿宋_GB2312" w:hAnsi="仿宋_GB2312" w:eastAsia="仿宋_GB2312" w:cs="仿宋_GB2312"/>
          <w:b/>
          <w:bCs w:val="0"/>
          <w:color w:val="auto"/>
          <w:kern w:val="2"/>
          <w:sz w:val="28"/>
          <w:szCs w:val="28"/>
          <w:lang w:val="en-US" w:eastAsia="zh-CN" w:bidi="ar-SA"/>
        </w:rPr>
      </w:pPr>
    </w:p>
    <w:p w14:paraId="3E0E255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4006B8B3">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（一）报价要求</w:t>
      </w:r>
    </w:p>
    <w:p w14:paraId="155DECE4">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1.本项目总预算金额</w:t>
      </w:r>
      <w:r>
        <w:rPr>
          <w:rFonts w:hint="eastAsia" w:ascii="仿宋_GB2312" w:hAnsi="仿宋_GB2312" w:eastAsia="仿宋_GB2312" w:cs="仿宋_GB2312"/>
          <w:color w:val="auto"/>
          <w:sz w:val="28"/>
          <w:szCs w:val="28"/>
          <w:highlight w:val="none"/>
          <w:u w:val="none"/>
          <w:lang w:val="en-US" w:eastAsia="zh-CN"/>
        </w:rPr>
        <w:t>79800</w:t>
      </w:r>
      <w:r>
        <w:rPr>
          <w:rFonts w:hint="eastAsia" w:ascii="仿宋_GB2312" w:hAnsi="仿宋_GB2312" w:eastAsia="仿宋_GB2312" w:cs="仿宋_GB2312"/>
          <w:color w:val="auto"/>
          <w:sz w:val="28"/>
          <w:szCs w:val="28"/>
          <w:highlight w:val="none"/>
          <w:lang w:val="en-US" w:eastAsia="zh-CN"/>
        </w:rPr>
        <w:t>元，</w:t>
      </w:r>
      <w:r>
        <w:rPr>
          <w:rFonts w:hint="eastAsia" w:ascii="仿宋_GB2312" w:hAnsi="仿宋_GB2312" w:eastAsia="仿宋_GB2312" w:cs="仿宋_GB2312"/>
          <w:sz w:val="28"/>
          <w:szCs w:val="28"/>
          <w:lang w:val="en-US" w:eastAsia="zh-CN"/>
        </w:rPr>
        <w:t>结算金额为固定值（300元/人/张），按实际人数结算，不受供应商报价影响。</w:t>
      </w:r>
    </w:p>
    <w:p w14:paraId="7653C2ED">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2.供应商报价应包括货物、人工费、设计费、包装、运输（含二次运输）、装卸、人员培训、验收、</w:t>
      </w:r>
      <w:r>
        <w:rPr>
          <w:rFonts w:hint="eastAsia" w:ascii="仿宋_GB2312" w:hAnsi="仿宋_GB2312" w:eastAsia="仿宋_GB2312" w:cs="仿宋_GB2312"/>
          <w:color w:val="auto"/>
          <w:sz w:val="28"/>
          <w:szCs w:val="28"/>
          <w:highlight w:val="none"/>
          <w:lang w:val="en-US" w:eastAsia="zh-CN"/>
        </w:rPr>
        <w:t>检验</w:t>
      </w:r>
      <w:r>
        <w:rPr>
          <w:rFonts w:hint="eastAsia" w:ascii="仿宋_GB2312" w:hAnsi="仿宋_GB2312" w:eastAsia="仿宋_GB2312" w:cs="仿宋_GB2312"/>
          <w:sz w:val="28"/>
          <w:szCs w:val="28"/>
          <w:lang w:val="en-US" w:eastAsia="zh-CN"/>
        </w:rPr>
        <w:t>、税收、保险、专业工具、售后服务、质保期内维保等伴随的服务及实施过程中的不可预见费用等全部费用。报价以人民币为货币单位，单价、小计和总价应清楚表达。</w:t>
      </w:r>
    </w:p>
    <w:p w14:paraId="41BD082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0C1984B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（二）供货地点、时间</w:t>
      </w:r>
    </w:p>
    <w:p w14:paraId="32AC02D5">
      <w:pPr>
        <w:bidi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1.供货地点：中山市口腔医院</w:t>
      </w:r>
    </w:p>
    <w:p w14:paraId="7924A42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2.交付时间：接到采购人通知后5日内交付使用。</w:t>
      </w:r>
    </w:p>
    <w:p w14:paraId="0A8AC43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（三）包装及运输</w:t>
      </w:r>
    </w:p>
    <w:p w14:paraId="44AA86B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成交供应商须根据采购人实际需求，采用专人直送方式分批配送生日蛋糕券至采购人指定地点。每批次配送须提前与采购人确认具体配送时间、数量，确保配送准确无误。本项目不接受物流、快递等第三方配送方式。成交供应商须采用自有配送服务，否则采购人有权拒收并追究相关责任。</w:t>
      </w:r>
    </w:p>
    <w:p w14:paraId="38FDE908">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4.货物在现场的保管由成交供应商负责，直至项目验收完毕。成交供应商负责其派出的现场服务人员的人身意外保险。</w:t>
      </w:r>
    </w:p>
    <w:p w14:paraId="68348A9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5.包装费、运费已包含在合同价内。</w:t>
      </w:r>
    </w:p>
    <w:p w14:paraId="090FD23C">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（四）其他服务要求</w:t>
      </w:r>
    </w:p>
    <w:p w14:paraId="1C925EAA">
      <w:pPr>
        <w:bidi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成交供应商对所供食品的质量、卫生及安全承担全部责任，保证符合国家现行《中华人民共和国食品安全法》等法律法规及地方政府相关规定；外包装完好、无破损，剩余保质期不少于产品标注保质期的二分之一。</w:t>
      </w:r>
    </w:p>
    <w:p w14:paraId="4DA7A5F4">
      <w:pPr>
        <w:bidi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2.成交供应商所供产品须新鲜、无异味、无变质，制作原料必须优质、精良，严禁使用有害添加剂；不得提供过期或临期产品。</w:t>
      </w:r>
    </w:p>
    <w:p w14:paraId="55E09373">
      <w:pPr>
        <w:bidi w:val="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3.若产品不符合用户需求书及报价响应文件描述的质量标准，采购人有权无条件退货，成交供应商应承担由此产生的违约责任及全部费用。</w:t>
      </w:r>
    </w:p>
    <w:p w14:paraId="413F359E">
      <w:pPr>
        <w:bidi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4.本招标文件要求成交供应商承担的全部义务与责任，均由成交供应商自行履行并承担。</w:t>
      </w:r>
    </w:p>
    <w:p w14:paraId="6CB0C87F">
      <w:pPr>
        <w:bidi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5.未经采购人书面批准，成交供应商不得以任何形式将本项目分包或转包；否则即构成违约，采购人有权单方面解除本合同，由此给采购人造成的一切经济损失由成交供应商承担。</w:t>
      </w:r>
    </w:p>
    <w:p w14:paraId="2203BBF5">
      <w:pPr>
        <w:bidi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6.本项目不接受联合体报价。</w:t>
      </w:r>
    </w:p>
    <w:p w14:paraId="32084268">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（五）交货安排及验收方式</w:t>
      </w:r>
    </w:p>
    <w:p w14:paraId="5FDF906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1.交货安排：自合同签订之日起，成交供应商须按采购人月度需求计划，每月集中配送一次。具体配送数量以采购人当月书面通知为准，供应商须在收到通知后5日内完成当批次配送。</w:t>
      </w:r>
    </w:p>
    <w:p w14:paraId="1F567844">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验收方式：①每批次货物送达后，由采购人指定地点现场清点数量、核验包装及卡片完整性，确认无误后在《送货确认单》上签字。②验收不合格的，供应商应在3个工作日内完成调换或补货，并承担由此产生的全部费用。验收合格之日以采购人签署《送货确认单》的日期为准。</w:t>
      </w:r>
    </w:p>
    <w:p w14:paraId="17C31264">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（六）结算及付款方式</w:t>
      </w:r>
    </w:p>
    <w:p w14:paraId="4835E3E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1.付款周期：采购人在每批次货物验收合格并收到供应商完整支付申请资料后30个工作日内，按程序办理该批次款项支付。</w:t>
      </w:r>
    </w:p>
    <w:p w14:paraId="17A6A1B9">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2.结算方式：结算金额=结算固定单价价格（人民币叁佰元整，¥300.00）×经双方确认的当批次实际配送蛋糕券数量。</w:t>
      </w:r>
    </w:p>
    <w:p w14:paraId="18687B07">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3.本合同款项以人民币通过银行转账方式结算，乙方凭以下资料申请款项支付：</w:t>
      </w:r>
    </w:p>
    <w:p w14:paraId="6D53D17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①合同复印件；</w:t>
      </w:r>
    </w:p>
    <w:p w14:paraId="7C325F9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②经采购人签字盖章的《送货确认单》或能证明该批次实际配送数量的有效文件；</w:t>
      </w:r>
    </w:p>
    <w:p w14:paraId="68F7480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③成交供货商开具对应款项的正规全额发票和对应款项收据。</w:t>
      </w:r>
    </w:p>
    <w:p w14:paraId="002E8512">
      <w:pPr>
        <w:bidi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④采购人要求的其他必要资料。</w:t>
      </w:r>
    </w:p>
    <w:p w14:paraId="64A44D9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bookmarkStart w:id="0" w:name="_Toc259090960"/>
      <w:r>
        <w:rPr>
          <w:rFonts w:hint="eastAsia" w:ascii="仿宋_GB2312" w:hAnsi="仿宋_GB2312" w:eastAsia="仿宋_GB2312" w:cs="仿宋_GB2312"/>
          <w:b/>
          <w:bCs w:val="0"/>
          <w:color w:val="auto"/>
          <w:kern w:val="2"/>
          <w:sz w:val="28"/>
          <w:szCs w:val="28"/>
          <w:lang w:val="en-US" w:eastAsia="zh-CN" w:bidi="ar-SA"/>
        </w:rPr>
        <w:t>五、评审方法</w:t>
      </w:r>
    </w:p>
    <w:p w14:paraId="2D75AAF7">
      <w:pPr>
        <w:bidi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经评审的综合评分:由评审委员会"综合评分表"进行综合评审，综合得分最高的为排名第一，排名第一的推荐为拟成交供应商。</w:t>
      </w:r>
    </w:p>
    <w:p w14:paraId="2DD045D6">
      <w:pPr>
        <w:bidi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注:综合得分相同时，可根据响应产品价值最高、供货时间、服务便利性等因素择优推荐排名。</w:t>
      </w:r>
    </w:p>
    <w:bookmarkEnd w:id="0"/>
    <w:p w14:paraId="0FC5374C">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 xml:space="preserve">六、合同订立 </w:t>
      </w:r>
    </w:p>
    <w:p w14:paraId="1948619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定标程序：采购人按照评审汇总表确定排名第一的为成交供应商。</w:t>
      </w:r>
    </w:p>
    <w:p w14:paraId="213024B8">
      <w:pPr>
        <w:bidi w:val="0"/>
        <w:rPr>
          <w:rFonts w:hint="eastAsia" w:ascii="仿宋_GB2312" w:hAnsi="仿宋_GB2312" w:eastAsia="仿宋_GB2312" w:cs="仿宋_GB2312"/>
          <w:sz w:val="28"/>
          <w:szCs w:val="28"/>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8"/>
          <w:szCs w:val="28"/>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center"/>
        <w:rPr>
          <w:rFonts w:hint="eastAsia" w:ascii="仿宋_GB2312" w:hAnsi="仿宋_GB2312" w:eastAsia="仿宋_GB2312" w:cs="仿宋_GB2312"/>
          <w:i/>
          <w:iCs/>
          <w:color w:val="FF0000"/>
          <w:sz w:val="28"/>
          <w:szCs w:val="28"/>
          <w:highlight w:val="yellow"/>
          <w:lang w:eastAsia="zh-CN"/>
        </w:rPr>
      </w:pPr>
      <w:r>
        <w:rPr>
          <w:rFonts w:hint="eastAsia" w:ascii="仿宋_GB2312" w:hAnsi="仿宋_GB2312" w:eastAsia="仿宋_GB2312" w:cs="仿宋_GB2312"/>
          <w:sz w:val="28"/>
          <w:szCs w:val="28"/>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6"/>
        <w:gridCol w:w="1294"/>
        <w:gridCol w:w="6758"/>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评审因素</w:t>
            </w:r>
          </w:p>
        </w:tc>
        <w:tc>
          <w:tcPr>
            <w:tcW w:w="8052" w:type="dxa"/>
            <w:gridSpan w:val="2"/>
            <w:noWrap/>
          </w:tcPr>
          <w:p w14:paraId="22C1D7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noWrap/>
            <w:vAlign w:val="center"/>
          </w:tcPr>
          <w:p w14:paraId="37EEF424">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分值构成</w:t>
            </w:r>
          </w:p>
        </w:tc>
        <w:tc>
          <w:tcPr>
            <w:tcW w:w="8052" w:type="dxa"/>
            <w:gridSpan w:val="2"/>
            <w:noWrap/>
          </w:tcPr>
          <w:p w14:paraId="0EE8D9D7">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color w:val="auto"/>
                <w:sz w:val="28"/>
                <w:szCs w:val="28"/>
                <w:lang w:eastAsia="zh-CN"/>
              </w:rPr>
              <w:t>技术</w:t>
            </w: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lang w:val="en-US" w:eastAsia="zh-CN"/>
              </w:rPr>
              <w:t>70</w:t>
            </w:r>
            <w:r>
              <w:rPr>
                <w:rFonts w:hint="eastAsia" w:ascii="仿宋_GB2312" w:hAnsi="仿宋_GB2312" w:eastAsia="仿宋_GB2312" w:cs="仿宋_GB2312"/>
                <w:color w:val="auto"/>
                <w:sz w:val="28"/>
                <w:szCs w:val="28"/>
                <w:highlight w:val="none"/>
              </w:rPr>
              <w:t>.0分</w:t>
            </w:r>
          </w:p>
          <w:p w14:paraId="291C36E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价格得分</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0.0分</w:t>
            </w:r>
          </w:p>
        </w:tc>
      </w:tr>
      <w:tr w14:paraId="5E26B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6" w:hRule="atLeast"/>
          <w:jc w:val="center"/>
        </w:trPr>
        <w:tc>
          <w:tcPr>
            <w:tcW w:w="1396" w:type="dxa"/>
            <w:vMerge w:val="restart"/>
            <w:noWrap/>
            <w:vAlign w:val="center"/>
          </w:tcPr>
          <w:p w14:paraId="7F8BF6C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技术部分</w:t>
            </w:r>
          </w:p>
          <w:p w14:paraId="143C557F">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rPr>
              <w:t>分）</w:t>
            </w:r>
          </w:p>
        </w:tc>
        <w:tc>
          <w:tcPr>
            <w:tcW w:w="1294" w:type="dxa"/>
            <w:shd w:val="clear" w:color="auto" w:fill="auto"/>
            <w:noWrap/>
            <w:vAlign w:val="center"/>
          </w:tcPr>
          <w:p w14:paraId="3F856C1B">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6"/>
                <w:sz w:val="28"/>
                <w:szCs w:val="28"/>
                <w:lang w:val="en-US" w:eastAsia="zh-CN"/>
              </w:rPr>
              <w:t>整体服务</w:t>
            </w:r>
            <w:r>
              <w:rPr>
                <w:rFonts w:hint="eastAsia" w:ascii="仿宋_GB2312" w:hAnsi="仿宋_GB2312" w:eastAsia="仿宋_GB2312" w:cs="仿宋_GB2312"/>
                <w:spacing w:val="-6"/>
                <w:sz w:val="28"/>
                <w:szCs w:val="28"/>
              </w:rPr>
              <w:t>方案</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w:t>
            </w:r>
          </w:p>
        </w:tc>
        <w:tc>
          <w:tcPr>
            <w:tcW w:w="6758" w:type="dxa"/>
            <w:shd w:val="clear" w:color="auto" w:fill="auto"/>
            <w:noWrap/>
            <w:vAlign w:val="top"/>
          </w:tcPr>
          <w:p w14:paraId="21CF1A1D">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根据供应商提供的</w:t>
            </w:r>
            <w:r>
              <w:rPr>
                <w:rFonts w:hint="eastAsia" w:ascii="仿宋_GB2312" w:hAnsi="仿宋_GB2312" w:eastAsia="仿宋_GB2312" w:cs="仿宋_GB2312"/>
                <w:spacing w:val="-6"/>
                <w:sz w:val="28"/>
                <w:szCs w:val="28"/>
                <w:lang w:val="en-US" w:eastAsia="zh-CN"/>
              </w:rPr>
              <w:t>服务</w:t>
            </w:r>
            <w:r>
              <w:rPr>
                <w:rFonts w:hint="eastAsia" w:ascii="仿宋_GB2312" w:hAnsi="仿宋_GB2312" w:eastAsia="仿宋_GB2312" w:cs="仿宋_GB2312"/>
                <w:spacing w:val="-6"/>
                <w:sz w:val="28"/>
                <w:szCs w:val="28"/>
              </w:rPr>
              <w:t>方案（应包含供货时间安排、运输方案</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项目方案明细、优惠政策</w:t>
            </w:r>
            <w:r>
              <w:rPr>
                <w:rFonts w:hint="eastAsia" w:ascii="仿宋_GB2312" w:hAnsi="仿宋_GB2312" w:eastAsia="仿宋_GB2312" w:cs="仿宋_GB2312"/>
                <w:spacing w:val="-6"/>
                <w:sz w:val="28"/>
                <w:szCs w:val="28"/>
              </w:rPr>
              <w:t>等）进行评分：</w:t>
            </w:r>
          </w:p>
          <w:p w14:paraId="434B215B">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1、供货方案响应及时，配送体系完善，具备24小时应急响应机制，运输保障措施可靠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 xml:space="preserve">得 </w:t>
            </w:r>
            <w:r>
              <w:rPr>
                <w:rFonts w:hint="eastAsia" w:ascii="仿宋_GB2312" w:hAnsi="仿宋_GB2312" w:eastAsia="仿宋_GB2312" w:cs="仿宋_GB2312"/>
                <w:spacing w:val="-6"/>
                <w:sz w:val="28"/>
                <w:szCs w:val="28"/>
                <w:lang w:val="en-US" w:eastAsia="zh-CN"/>
              </w:rPr>
              <w:t>20</w:t>
            </w:r>
            <w:r>
              <w:rPr>
                <w:rFonts w:hint="eastAsia" w:ascii="仿宋_GB2312" w:hAnsi="仿宋_GB2312" w:eastAsia="仿宋_GB2312" w:cs="仿宋_GB2312"/>
                <w:spacing w:val="-6"/>
                <w:sz w:val="28"/>
                <w:szCs w:val="28"/>
              </w:rPr>
              <w:t>分；</w:t>
            </w:r>
          </w:p>
          <w:p w14:paraId="0F6C8AF6">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2、供货安排合理，配送网络覆盖全面，运输方案具备可实施性</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得</w:t>
            </w:r>
            <w:r>
              <w:rPr>
                <w:rFonts w:hint="eastAsia" w:ascii="仿宋_GB2312" w:hAnsi="仿宋_GB2312" w:eastAsia="仿宋_GB2312" w:cs="仿宋_GB2312"/>
                <w:spacing w:val="-6"/>
                <w:sz w:val="28"/>
                <w:szCs w:val="28"/>
                <w:lang w:val="en-US" w:eastAsia="zh-CN"/>
              </w:rPr>
              <w:t>10</w:t>
            </w:r>
            <w:r>
              <w:rPr>
                <w:rFonts w:hint="eastAsia" w:ascii="仿宋_GB2312" w:hAnsi="仿宋_GB2312" w:eastAsia="仿宋_GB2312" w:cs="仿宋_GB2312"/>
                <w:spacing w:val="-6"/>
                <w:sz w:val="28"/>
                <w:szCs w:val="28"/>
              </w:rPr>
              <w:t>分；</w:t>
            </w:r>
          </w:p>
          <w:p w14:paraId="4CB20C24">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3、承诺供货时间能满足本项目需求，但方案欠可靠，保障性一般的，得 </w:t>
            </w:r>
            <w:r>
              <w:rPr>
                <w:rFonts w:hint="eastAsia" w:ascii="仿宋_GB2312" w:hAnsi="仿宋_GB2312" w:eastAsia="仿宋_GB2312" w:cs="仿宋_GB2312"/>
                <w:spacing w:val="-6"/>
                <w:sz w:val="28"/>
                <w:szCs w:val="28"/>
                <w:lang w:val="en-US" w:eastAsia="zh-CN"/>
              </w:rPr>
              <w:t>5</w:t>
            </w:r>
            <w:r>
              <w:rPr>
                <w:rFonts w:hint="eastAsia" w:ascii="仿宋_GB2312" w:hAnsi="仿宋_GB2312" w:eastAsia="仿宋_GB2312" w:cs="仿宋_GB2312"/>
                <w:spacing w:val="-6"/>
                <w:sz w:val="28"/>
                <w:szCs w:val="28"/>
              </w:rPr>
              <w:t>分；</w:t>
            </w:r>
          </w:p>
          <w:p w14:paraId="6A344720">
            <w:pPr>
              <w:spacing w:line="36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6"/>
                <w:sz w:val="28"/>
                <w:szCs w:val="28"/>
              </w:rPr>
              <w:t>4、供货无法满足本项目需求或其他情况的不得分。</w:t>
            </w:r>
          </w:p>
        </w:tc>
      </w:tr>
      <w:tr w14:paraId="50027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1" w:hRule="atLeast"/>
          <w:jc w:val="center"/>
        </w:trPr>
        <w:tc>
          <w:tcPr>
            <w:tcW w:w="1396" w:type="dxa"/>
            <w:vMerge w:val="continue"/>
            <w:noWrap/>
            <w:vAlign w:val="center"/>
          </w:tcPr>
          <w:p w14:paraId="2F27C902">
            <w:pPr>
              <w:spacing w:line="360" w:lineRule="auto"/>
              <w:jc w:val="center"/>
              <w:rPr>
                <w:rFonts w:hint="eastAsia" w:ascii="仿宋_GB2312" w:hAnsi="仿宋_GB2312" w:eastAsia="仿宋_GB2312" w:cs="仿宋_GB2312"/>
                <w:sz w:val="28"/>
                <w:szCs w:val="28"/>
              </w:rPr>
            </w:pPr>
          </w:p>
        </w:tc>
        <w:tc>
          <w:tcPr>
            <w:tcW w:w="1294" w:type="dxa"/>
            <w:shd w:val="clear" w:color="auto" w:fill="auto"/>
            <w:noWrap/>
            <w:vAlign w:val="center"/>
          </w:tcPr>
          <w:p w14:paraId="5F29ABB2">
            <w:pPr>
              <w:spacing w:line="360" w:lineRule="auto"/>
              <w:jc w:val="center"/>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z w:val="28"/>
                <w:szCs w:val="28"/>
              </w:rPr>
              <w:t>门店覆盖能力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7.5分</w:t>
            </w:r>
            <w:r>
              <w:rPr>
                <w:rFonts w:hint="eastAsia" w:ascii="仿宋_GB2312" w:hAnsi="仿宋_GB2312" w:eastAsia="仿宋_GB2312" w:cs="仿宋_GB2312"/>
                <w:sz w:val="28"/>
                <w:szCs w:val="28"/>
                <w:lang w:eastAsia="zh-CN"/>
              </w:rPr>
              <w:t>）</w:t>
            </w:r>
          </w:p>
        </w:tc>
        <w:tc>
          <w:tcPr>
            <w:tcW w:w="6758" w:type="dxa"/>
            <w:shd w:val="clear" w:color="auto" w:fill="auto"/>
            <w:noWrap/>
            <w:vAlign w:val="top"/>
          </w:tcPr>
          <w:p w14:paraId="1CB818C1">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石岐区≥4家且中山市范围内≥10家品牌门店，地址清晰、照片完整，得</w:t>
            </w:r>
            <w:r>
              <w:rPr>
                <w:rFonts w:hint="eastAsia"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487035FE">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石岐区≥4家但中山市范围门店＜10家，或门店信息不完整，得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1654579D">
            <w:pPr>
              <w:spacing w:line="360" w:lineRule="auto"/>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石岐区门店＜4家或无法提供有效证明材料不得分</w:t>
            </w:r>
            <w:r>
              <w:rPr>
                <w:rFonts w:hint="eastAsia" w:ascii="仿宋_GB2312" w:hAnsi="仿宋_GB2312" w:eastAsia="仿宋_GB2312" w:cs="仿宋_GB2312"/>
                <w:sz w:val="28"/>
                <w:szCs w:val="28"/>
                <w:lang w:eastAsia="zh-CN"/>
              </w:rPr>
              <w:t>。</w:t>
            </w:r>
          </w:p>
        </w:tc>
      </w:tr>
      <w:tr w14:paraId="6D936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6F559DBF">
            <w:pPr>
              <w:spacing w:line="360" w:lineRule="auto"/>
              <w:jc w:val="center"/>
              <w:rPr>
                <w:rFonts w:hint="eastAsia" w:ascii="仿宋_GB2312" w:hAnsi="仿宋_GB2312" w:eastAsia="仿宋_GB2312" w:cs="仿宋_GB2312"/>
                <w:sz w:val="28"/>
                <w:szCs w:val="28"/>
              </w:rPr>
            </w:pPr>
          </w:p>
        </w:tc>
        <w:tc>
          <w:tcPr>
            <w:tcW w:w="1294" w:type="dxa"/>
            <w:shd w:val="clear" w:color="auto" w:fill="auto"/>
            <w:noWrap/>
            <w:vAlign w:val="center"/>
          </w:tcPr>
          <w:p w14:paraId="5D4D6577">
            <w:pPr>
              <w:spacing w:line="360" w:lineRule="auto"/>
              <w:jc w:val="center"/>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z w:val="28"/>
                <w:szCs w:val="28"/>
              </w:rPr>
              <w:t>兑换目录（</w:t>
            </w:r>
            <w:r>
              <w:rPr>
                <w:rFonts w:hint="eastAsia"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rPr>
              <w:t>分）</w:t>
            </w:r>
          </w:p>
        </w:tc>
        <w:tc>
          <w:tcPr>
            <w:tcW w:w="6758" w:type="dxa"/>
            <w:shd w:val="clear" w:color="auto" w:fill="auto"/>
            <w:noWrap/>
            <w:vAlign w:val="top"/>
          </w:tcPr>
          <w:p w14:paraId="0451E12A">
            <w:pPr>
              <w:numPr>
                <w:ilvl w:val="0"/>
                <w:numId w:val="3"/>
              </w:num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可兑换蛋糕品种≥20款，得7.5分；</w:t>
            </w:r>
          </w:p>
          <w:p w14:paraId="356A38E6">
            <w:pPr>
              <w:numPr>
                <w:ilvl w:val="0"/>
                <w:numId w:val="3"/>
              </w:num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10款≤品种＜20款，得3分；</w:t>
            </w:r>
          </w:p>
          <w:p w14:paraId="116D93A1">
            <w:pPr>
              <w:numPr>
                <w:ilvl w:val="0"/>
                <w:numId w:val="3"/>
              </w:num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品种＜5款或未提供目录不</w:t>
            </w:r>
            <w:r>
              <w:rPr>
                <w:rFonts w:hint="eastAsia" w:ascii="仿宋_GB2312" w:hAnsi="仿宋_GB2312" w:eastAsia="仿宋_GB2312" w:cs="仿宋_GB2312"/>
                <w:sz w:val="28"/>
                <w:szCs w:val="28"/>
              </w:rPr>
              <w:t>得分</w:t>
            </w:r>
            <w:r>
              <w:rPr>
                <w:rFonts w:hint="eastAsia" w:ascii="仿宋_GB2312" w:hAnsi="仿宋_GB2312" w:eastAsia="仿宋_GB2312" w:cs="仿宋_GB2312"/>
                <w:sz w:val="28"/>
                <w:szCs w:val="28"/>
                <w:lang w:eastAsia="zh-CN"/>
              </w:rPr>
              <w:t>。</w:t>
            </w:r>
          </w:p>
          <w:p w14:paraId="461BEC22">
            <w:pPr>
              <w:numPr>
                <w:ilvl w:val="0"/>
                <w:numId w:val="0"/>
              </w:numPr>
              <w:spacing w:line="360" w:lineRule="auto"/>
              <w:ind w:left="0" w:leftChars="0" w:firstLine="0" w:firstLineChars="0"/>
              <w:rPr>
                <w:rFonts w:hint="eastAsia" w:ascii="仿宋_GB2312" w:hAnsi="仿宋_GB2312" w:eastAsia="仿宋_GB2312" w:cs="仿宋_GB2312"/>
                <w:spacing w:val="-6"/>
                <w:sz w:val="28"/>
                <w:szCs w:val="28"/>
              </w:rPr>
            </w:pPr>
            <w:r>
              <w:rPr>
                <w:rFonts w:hint="default" w:ascii="仿宋_GB2312" w:hAnsi="仿宋_GB2312" w:eastAsia="仿宋_GB2312" w:cs="仿宋_GB2312"/>
                <w:sz w:val="28"/>
                <w:szCs w:val="28"/>
                <w:lang w:val="en-US" w:eastAsia="zh-CN"/>
              </w:rPr>
              <w:t>【注：须提供生日蛋糕目录种类和生日蛋糕图片，加盖</w:t>
            </w:r>
            <w:r>
              <w:rPr>
                <w:rFonts w:hint="eastAsia" w:ascii="仿宋_GB2312" w:hAnsi="仿宋_GB2312" w:eastAsia="仿宋_GB2312" w:cs="仿宋_GB2312"/>
                <w:sz w:val="28"/>
                <w:szCs w:val="28"/>
                <w:lang w:val="en-US" w:eastAsia="zh-CN"/>
              </w:rPr>
              <w:t>供货商</w:t>
            </w:r>
            <w:r>
              <w:rPr>
                <w:rFonts w:hint="default" w:ascii="仿宋_GB2312" w:hAnsi="仿宋_GB2312" w:eastAsia="仿宋_GB2312" w:cs="仿宋_GB2312"/>
                <w:sz w:val="28"/>
                <w:szCs w:val="28"/>
                <w:lang w:val="en-US" w:eastAsia="zh-CN"/>
              </w:rPr>
              <w:t>公章，否则不得分】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4DB874C0">
            <w:pPr>
              <w:spacing w:line="360" w:lineRule="auto"/>
              <w:jc w:val="center"/>
              <w:rPr>
                <w:rFonts w:hint="eastAsia" w:ascii="仿宋_GB2312" w:hAnsi="仿宋_GB2312" w:eastAsia="仿宋_GB2312" w:cs="仿宋_GB2312"/>
                <w:sz w:val="28"/>
                <w:szCs w:val="28"/>
              </w:rPr>
            </w:pPr>
          </w:p>
        </w:tc>
        <w:tc>
          <w:tcPr>
            <w:tcW w:w="1294" w:type="dxa"/>
            <w:noWrap/>
            <w:vAlign w:val="center"/>
          </w:tcPr>
          <w:p w14:paraId="7CB6B73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应急处置方案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6758" w:type="dxa"/>
            <w:noWrap/>
          </w:tcPr>
          <w:p w14:paraId="69878A2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根据供应商所提供的应急预案进行横向比较，分档评分：</w:t>
            </w:r>
          </w:p>
          <w:p w14:paraId="7E8000A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服务应急方案详细且合理，完全满足要求，得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分； </w:t>
            </w:r>
          </w:p>
          <w:p w14:paraId="0DE52862">
            <w:pPr>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服务应急方案有缺陷，能基本满足要求，得</w:t>
            </w:r>
            <w:r>
              <w:rPr>
                <w:rFonts w:hint="eastAsia" w:ascii="仿宋_GB2312" w:hAnsi="仿宋_GB2312" w:eastAsia="仿宋_GB2312" w:cs="仿宋_GB2312"/>
                <w:sz w:val="28"/>
                <w:szCs w:val="28"/>
                <w:lang w:val="en-US" w:eastAsia="zh-CN"/>
              </w:rPr>
              <w:t>5分</w:t>
            </w:r>
            <w:r>
              <w:rPr>
                <w:rFonts w:hint="eastAsia" w:ascii="仿宋_GB2312" w:hAnsi="仿宋_GB2312" w:eastAsia="仿宋_GB2312" w:cs="仿宋_GB2312"/>
                <w:sz w:val="28"/>
                <w:szCs w:val="28"/>
              </w:rPr>
              <w:t xml:space="preserve">； </w:t>
            </w:r>
          </w:p>
          <w:p w14:paraId="7CAE3480">
            <w:pPr>
              <w:numPr>
                <w:ilvl w:val="0"/>
                <w:numId w:val="0"/>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服务应急方案不合理</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09A77DAF">
            <w:pPr>
              <w:spacing w:line="360" w:lineRule="auto"/>
              <w:jc w:val="center"/>
              <w:rPr>
                <w:rFonts w:hint="eastAsia" w:ascii="仿宋_GB2312" w:hAnsi="仿宋_GB2312" w:eastAsia="仿宋_GB2312" w:cs="仿宋_GB2312"/>
                <w:sz w:val="28"/>
                <w:szCs w:val="28"/>
              </w:rPr>
            </w:pPr>
          </w:p>
        </w:tc>
        <w:tc>
          <w:tcPr>
            <w:tcW w:w="1294" w:type="dxa"/>
            <w:noWrap/>
            <w:vAlign w:val="center"/>
          </w:tcPr>
          <w:p w14:paraId="371E3563">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售后服务方案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10分）</w:t>
            </w:r>
          </w:p>
        </w:tc>
        <w:tc>
          <w:tcPr>
            <w:tcW w:w="6758" w:type="dxa"/>
            <w:noWrap/>
          </w:tcPr>
          <w:p w14:paraId="6FBBEB97">
            <w:pPr>
              <w:numPr>
                <w:ilvl w:val="0"/>
                <w:numId w:val="0"/>
              </w:numPr>
              <w:spacing w:line="360" w:lineRule="auto"/>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提供的售后服务保证方案（包括包含但不限于客户投诉专职对接人员、退还货处理流程、应急突发事件处理方案等）进行评审</w:t>
            </w:r>
            <w:r>
              <w:rPr>
                <w:rFonts w:hint="eastAsia" w:ascii="仿宋_GB2312" w:hAnsi="仿宋_GB2312" w:eastAsia="仿宋_GB2312" w:cs="仿宋_GB2312"/>
                <w:sz w:val="28"/>
                <w:szCs w:val="28"/>
                <w:lang w:eastAsia="zh-CN"/>
              </w:rPr>
              <w:t>：</w:t>
            </w:r>
          </w:p>
          <w:p w14:paraId="62F549F1">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售后服务方案合理可行，能针对本项目实际要求提供可行、可操作且详细的质量保证措施，得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76EDCBA0">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售后服务方案一般、质量保证措施一般缺乏针对性，内容较为普通，基本满足项目要求，得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p w14:paraId="309C38AC">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售后服务方案较差、质量保证措施有重大偏差或缺漏</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396" w:type="dxa"/>
            <w:vMerge w:val="continue"/>
            <w:noWrap/>
            <w:vAlign w:val="center"/>
          </w:tcPr>
          <w:p w14:paraId="7131AFB6">
            <w:pPr>
              <w:spacing w:line="360" w:lineRule="auto"/>
              <w:jc w:val="center"/>
              <w:rPr>
                <w:rFonts w:hint="eastAsia" w:ascii="仿宋_GB2312" w:hAnsi="仿宋_GB2312" w:eastAsia="仿宋_GB2312" w:cs="仿宋_GB2312"/>
                <w:sz w:val="28"/>
                <w:szCs w:val="28"/>
              </w:rPr>
            </w:pPr>
          </w:p>
        </w:tc>
        <w:tc>
          <w:tcPr>
            <w:tcW w:w="1294" w:type="dxa"/>
            <w:noWrap/>
            <w:vAlign w:val="center"/>
          </w:tcPr>
          <w:p w14:paraId="6A428AAD">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同类项目业绩</w:t>
            </w:r>
          </w:p>
          <w:p w14:paraId="4F5CCC31">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6758" w:type="dxa"/>
            <w:noWrap/>
          </w:tcPr>
          <w:p w14:paraId="68EF365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供应商自2023年1月1日以来（以合同生效时间为准）承接过的同类项目业绩合同，每提供一个同类项目合同得</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分；本项最高得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分。 </w:t>
            </w:r>
          </w:p>
          <w:p w14:paraId="07205AB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注：同一项目不同年份的合同按一份计算，不重复计算分数。同一业主续签不重复计分。须提供合同复印件，并加盖公章。</w:t>
            </w:r>
          </w:p>
          <w:p w14:paraId="2CB7125B">
            <w:pPr>
              <w:spacing w:line="360" w:lineRule="auto"/>
              <w:rPr>
                <w:rFonts w:hint="eastAsia" w:ascii="仿宋_GB2312" w:hAnsi="仿宋_GB2312" w:eastAsia="仿宋_GB2312" w:cs="仿宋_GB2312"/>
                <w:sz w:val="28"/>
                <w:szCs w:val="28"/>
              </w:rPr>
            </w:pP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6524C7F3">
            <w:pPr>
              <w:spacing w:line="360" w:lineRule="auto"/>
              <w:jc w:val="center"/>
              <w:rPr>
                <w:rFonts w:hint="eastAsia" w:ascii="仿宋_GB2312" w:hAnsi="仿宋_GB2312" w:eastAsia="仿宋_GB2312" w:cs="仿宋_GB2312"/>
                <w:sz w:val="28"/>
                <w:szCs w:val="28"/>
              </w:rPr>
            </w:pPr>
          </w:p>
        </w:tc>
        <w:tc>
          <w:tcPr>
            <w:tcW w:w="1294" w:type="dxa"/>
            <w:noWrap/>
            <w:vAlign w:val="center"/>
          </w:tcPr>
          <w:p w14:paraId="25C8E6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客户服务评价（依据提供的同类项目业绩的业主评价）</w:t>
            </w:r>
          </w:p>
          <w:p w14:paraId="12CBB50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6758" w:type="dxa"/>
            <w:noWrap/>
          </w:tcPr>
          <w:p w14:paraId="45C69B7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每提供一份2023年以来提供的同类项目业绩的评价为满意或优或优秀等正面评价的，每个用户评价得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分。本项最高得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分。 </w:t>
            </w:r>
          </w:p>
          <w:p w14:paraId="504301F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noWrap/>
            <w:vAlign w:val="center"/>
          </w:tcPr>
          <w:p w14:paraId="53BA3722">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价格部分</w:t>
            </w:r>
          </w:p>
          <w:p w14:paraId="001ED6C5">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0分）</w:t>
            </w:r>
          </w:p>
        </w:tc>
        <w:tc>
          <w:tcPr>
            <w:tcW w:w="1294" w:type="dxa"/>
            <w:noWrap/>
            <w:vAlign w:val="center"/>
          </w:tcPr>
          <w:p w14:paraId="35153053">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报价得分 </w:t>
            </w:r>
          </w:p>
          <w:p w14:paraId="113F52E1">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0分)</w:t>
            </w:r>
          </w:p>
        </w:tc>
        <w:tc>
          <w:tcPr>
            <w:tcW w:w="6758" w:type="dxa"/>
            <w:noWrap/>
          </w:tcPr>
          <w:p w14:paraId="30D08073">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报价得分＝（响应</w:t>
            </w:r>
            <w:r>
              <w:rPr>
                <w:rFonts w:hint="eastAsia" w:ascii="仿宋_GB2312" w:hAnsi="仿宋_GB2312" w:eastAsia="仿宋_GB2312" w:cs="仿宋_GB2312"/>
                <w:sz w:val="28"/>
                <w:szCs w:val="28"/>
                <w:lang w:val="en-US" w:eastAsia="zh-CN"/>
              </w:rPr>
              <w:t>产品</w:t>
            </w:r>
            <w:r>
              <w:rPr>
                <w:rFonts w:hint="eastAsia" w:ascii="仿宋_GB2312" w:hAnsi="仿宋_GB2312" w:eastAsia="仿宋_GB2312" w:cs="仿宋_GB2312"/>
                <w:sz w:val="28"/>
                <w:szCs w:val="28"/>
              </w:rPr>
              <w:t>价值／评标基准价值）×价格分值（30）</w:t>
            </w:r>
          </w:p>
          <w:p w14:paraId="638D75E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【注：满足要求且响应价</w:t>
            </w:r>
            <w:bookmarkStart w:id="1" w:name="_GoBack"/>
            <w:bookmarkEnd w:id="1"/>
            <w:r>
              <w:rPr>
                <w:rFonts w:hint="eastAsia" w:ascii="仿宋_GB2312" w:hAnsi="仿宋_GB2312" w:eastAsia="仿宋_GB2312" w:cs="仿宋_GB2312"/>
                <w:sz w:val="28"/>
                <w:szCs w:val="28"/>
              </w:rPr>
              <w:t>值最高的单价为评标基准价值。】最高响应价值不作为成交的唯一依据。</w:t>
            </w:r>
          </w:p>
        </w:tc>
      </w:tr>
    </w:tbl>
    <w:p w14:paraId="11BD3C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B0FFA"/>
    <w:multiLevelType w:val="singleLevel"/>
    <w:tmpl w:val="953B0FFA"/>
    <w:lvl w:ilvl="0" w:tentative="0">
      <w:start w:val="2"/>
      <w:numFmt w:val="chineseCounting"/>
      <w:suff w:val="nothing"/>
      <w:lvlText w:val="%1、"/>
      <w:lvlJc w:val="left"/>
      <w:rPr>
        <w:rFonts w:hint="eastAsia"/>
      </w:rPr>
    </w:lvl>
  </w:abstractNum>
  <w:abstractNum w:abstractNumId="1">
    <w:nsid w:val="3D812642"/>
    <w:multiLevelType w:val="singleLevel"/>
    <w:tmpl w:val="3D812642"/>
    <w:lvl w:ilvl="0" w:tentative="0">
      <w:start w:val="3"/>
      <w:numFmt w:val="chineseCounting"/>
      <w:suff w:val="nothing"/>
      <w:lvlText w:val="%1、"/>
      <w:lvlJc w:val="left"/>
      <w:rPr>
        <w:rFonts w:hint="eastAsia"/>
      </w:rPr>
    </w:lvl>
  </w:abstractNum>
  <w:abstractNum w:abstractNumId="2">
    <w:nsid w:val="4CE084F7"/>
    <w:multiLevelType w:val="singleLevel"/>
    <w:tmpl w:val="4CE084F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EF66A6"/>
    <w:rsid w:val="085D5AE7"/>
    <w:rsid w:val="09AE6AAA"/>
    <w:rsid w:val="09BB5137"/>
    <w:rsid w:val="09C50444"/>
    <w:rsid w:val="0A6C46AB"/>
    <w:rsid w:val="0BC77A31"/>
    <w:rsid w:val="0E88682E"/>
    <w:rsid w:val="108C1CE9"/>
    <w:rsid w:val="134250B8"/>
    <w:rsid w:val="15EB4D4D"/>
    <w:rsid w:val="1EC341D8"/>
    <w:rsid w:val="24E675F5"/>
    <w:rsid w:val="26F176CF"/>
    <w:rsid w:val="2E6171AA"/>
    <w:rsid w:val="33557238"/>
    <w:rsid w:val="3680281D"/>
    <w:rsid w:val="37B3452D"/>
    <w:rsid w:val="3ADF1782"/>
    <w:rsid w:val="3D2B0B95"/>
    <w:rsid w:val="3DBF0FE8"/>
    <w:rsid w:val="3E9C3F6D"/>
    <w:rsid w:val="417D62D7"/>
    <w:rsid w:val="42DE0FF8"/>
    <w:rsid w:val="44E20FD1"/>
    <w:rsid w:val="50724B2D"/>
    <w:rsid w:val="538E1C7E"/>
    <w:rsid w:val="5AB36DD5"/>
    <w:rsid w:val="5BBF087E"/>
    <w:rsid w:val="5CB30660"/>
    <w:rsid w:val="5DB6074F"/>
    <w:rsid w:val="6044285D"/>
    <w:rsid w:val="60DF1113"/>
    <w:rsid w:val="6158132F"/>
    <w:rsid w:val="6A164324"/>
    <w:rsid w:val="6D310531"/>
    <w:rsid w:val="71321BD9"/>
    <w:rsid w:val="71942EDB"/>
    <w:rsid w:val="71A67F49"/>
    <w:rsid w:val="73A74A77"/>
    <w:rsid w:val="743F6C3D"/>
    <w:rsid w:val="7A9146A4"/>
    <w:rsid w:val="7FB1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3612</Words>
  <Characters>3727</Characters>
  <Lines>0</Lines>
  <Paragraphs>0</Paragraphs>
  <TotalTime>42</TotalTime>
  <ScaleCrop>false</ScaleCrop>
  <LinksUpToDate>false</LinksUpToDate>
  <CharactersWithSpaces>3745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吴佳南</cp:lastModifiedBy>
  <dcterms:modified xsi:type="dcterms:W3CDTF">2026-01-09T09:32:55Z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eyJoZGlkIjoiMTAyNmQ1YTU5MWJlYWQzMjEzNTU2N2M4MmU1NmRiODIiLCJ1c2VySWQiOiIxNzg0MDA4MjE0In0=</vt:lpwstr>
  </property>
</Properties>
</file>