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E5FD8">
      <w:pPr>
        <w:jc w:val="center"/>
        <w:rPr>
          <w:rFonts w:hint="eastAsia" w:ascii="方正公文小标宋" w:hAnsi="方正公文小标宋" w:eastAsia="方正公文小标宋" w:cs="方正公文小标宋"/>
          <w:b w:val="0"/>
          <w:bCs w:val="0"/>
          <w:sz w:val="44"/>
          <w:szCs w:val="52"/>
          <w:lang w:val="en-US" w:eastAsia="zh-CN"/>
        </w:rPr>
      </w:pPr>
      <w:r>
        <w:rPr>
          <w:rFonts w:hint="eastAsia" w:ascii="方正公文小标宋" w:hAnsi="方正公文小标宋" w:eastAsia="方正公文小标宋" w:cs="方正公文小标宋"/>
          <w:b w:val="0"/>
          <w:bCs w:val="0"/>
          <w:sz w:val="44"/>
          <w:szCs w:val="52"/>
          <w:lang w:val="en-US" w:eastAsia="zh-CN"/>
        </w:rPr>
        <w:t>调研需求书</w:t>
      </w:r>
    </w:p>
    <w:p w14:paraId="6D20E403">
      <w:pPr>
        <w:jc w:val="center"/>
        <w:rPr>
          <w:rFonts w:hint="eastAsia" w:ascii="方正公文小标宋" w:hAnsi="方正公文小标宋" w:eastAsia="方正公文小标宋" w:cs="方正公文小标宋"/>
          <w:b/>
          <w:bCs/>
          <w:sz w:val="36"/>
          <w:szCs w:val="44"/>
          <w:lang w:val="en-US" w:eastAsia="zh-CN"/>
        </w:rPr>
      </w:pPr>
    </w:p>
    <w:p w14:paraId="5B2FFE75">
      <w:pPr>
        <w:numPr>
          <w:ilvl w:val="0"/>
          <w:numId w:val="1"/>
        </w:numPr>
        <w:jc w:val="both"/>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本调研项目需求一览表：</w:t>
      </w:r>
    </w:p>
    <w:tbl>
      <w:tblPr>
        <w:tblStyle w:val="7"/>
        <w:tblW w:w="88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8"/>
        <w:gridCol w:w="1800"/>
        <w:gridCol w:w="1163"/>
        <w:gridCol w:w="2250"/>
        <w:gridCol w:w="2466"/>
      </w:tblGrid>
      <w:tr w14:paraId="70CEC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198" w:type="dxa"/>
            <w:vAlign w:val="center"/>
          </w:tcPr>
          <w:p w14:paraId="55ED32CC">
            <w:pPr>
              <w:pStyle w:val="6"/>
              <w:spacing w:before="242" w:line="221" w:lineRule="auto"/>
              <w:jc w:val="center"/>
              <w:rPr>
                <w:rFonts w:hint="eastAsia" w:ascii="仿宋" w:hAnsi="仿宋" w:eastAsia="仿宋" w:cs="仿宋"/>
              </w:rPr>
            </w:pPr>
            <w:r>
              <w:rPr>
                <w:rFonts w:hint="eastAsia" w:ascii="仿宋" w:hAnsi="仿宋" w:eastAsia="仿宋" w:cs="仿宋"/>
                <w:b/>
                <w:bCs/>
                <w:spacing w:val="-6"/>
              </w:rPr>
              <w:t>用户单位</w:t>
            </w:r>
          </w:p>
        </w:tc>
        <w:tc>
          <w:tcPr>
            <w:tcW w:w="1800" w:type="dxa"/>
            <w:vAlign w:val="center"/>
          </w:tcPr>
          <w:p w14:paraId="2D144376">
            <w:pPr>
              <w:pStyle w:val="6"/>
              <w:spacing w:before="242" w:line="221" w:lineRule="auto"/>
              <w:jc w:val="center"/>
              <w:rPr>
                <w:rFonts w:hint="eastAsia" w:ascii="仿宋" w:hAnsi="仿宋" w:eastAsia="仿宋" w:cs="仿宋"/>
              </w:rPr>
            </w:pPr>
            <w:r>
              <w:rPr>
                <w:rFonts w:hint="eastAsia" w:cs="仿宋"/>
                <w:b/>
                <w:bCs/>
                <w:spacing w:val="-7"/>
                <w:lang w:val="en-US" w:eastAsia="zh-CN"/>
              </w:rPr>
              <w:t>项目</w:t>
            </w:r>
            <w:r>
              <w:rPr>
                <w:rFonts w:hint="eastAsia" w:ascii="仿宋" w:hAnsi="仿宋" w:eastAsia="仿宋" w:cs="仿宋"/>
                <w:b/>
                <w:bCs/>
                <w:spacing w:val="-7"/>
              </w:rPr>
              <w:t>名称</w:t>
            </w:r>
          </w:p>
        </w:tc>
        <w:tc>
          <w:tcPr>
            <w:tcW w:w="1163" w:type="dxa"/>
            <w:vAlign w:val="center"/>
          </w:tcPr>
          <w:p w14:paraId="3EE8410B">
            <w:pPr>
              <w:pStyle w:val="6"/>
              <w:spacing w:before="61" w:line="251" w:lineRule="auto"/>
              <w:ind w:right="135"/>
              <w:jc w:val="center"/>
              <w:rPr>
                <w:rFonts w:hint="eastAsia" w:ascii="仿宋" w:hAnsi="仿宋" w:eastAsia="仿宋" w:cs="仿宋"/>
              </w:rPr>
            </w:pPr>
            <w:r>
              <w:rPr>
                <w:rFonts w:hint="eastAsia" w:ascii="仿宋" w:hAnsi="仿宋" w:eastAsia="仿宋" w:cs="仿宋"/>
                <w:b/>
                <w:bCs/>
                <w:spacing w:val="-11"/>
              </w:rPr>
              <w:t>数量</w:t>
            </w:r>
            <w:r>
              <w:rPr>
                <w:rFonts w:hint="eastAsia" w:ascii="仿宋" w:hAnsi="仿宋" w:eastAsia="仿宋" w:cs="仿宋"/>
                <w:b/>
                <w:bCs/>
                <w:spacing w:val="-16"/>
              </w:rPr>
              <w:t>（份）</w:t>
            </w:r>
          </w:p>
        </w:tc>
        <w:tc>
          <w:tcPr>
            <w:tcW w:w="2250" w:type="dxa"/>
            <w:vAlign w:val="center"/>
          </w:tcPr>
          <w:p w14:paraId="787E3E50">
            <w:pPr>
              <w:pStyle w:val="6"/>
              <w:spacing w:before="61" w:line="251" w:lineRule="auto"/>
              <w:ind w:left="360" w:leftChars="0" w:right="222" w:rightChars="0" w:hanging="118" w:firstLineChars="0"/>
              <w:jc w:val="center"/>
              <w:rPr>
                <w:rFonts w:hint="eastAsia" w:ascii="仿宋" w:hAnsi="仿宋" w:eastAsia="仿宋" w:cs="仿宋"/>
              </w:rPr>
            </w:pPr>
            <w:r>
              <w:rPr>
                <w:rFonts w:hint="eastAsia" w:cs="仿宋"/>
                <w:b/>
                <w:bCs/>
                <w:spacing w:val="-8"/>
                <w:lang w:eastAsia="zh-CN"/>
              </w:rPr>
              <w:t>结算单价</w:t>
            </w:r>
          </w:p>
        </w:tc>
        <w:tc>
          <w:tcPr>
            <w:tcW w:w="2466" w:type="dxa"/>
            <w:vAlign w:val="center"/>
          </w:tcPr>
          <w:p w14:paraId="6B28D194">
            <w:pPr>
              <w:pStyle w:val="6"/>
              <w:spacing w:before="61" w:line="251" w:lineRule="auto"/>
              <w:ind w:left="0" w:leftChars="0" w:right="222" w:rightChars="0" w:firstLine="0" w:firstLineChars="0"/>
              <w:jc w:val="center"/>
              <w:rPr>
                <w:rFonts w:hint="eastAsia" w:ascii="仿宋" w:hAnsi="仿宋" w:eastAsia="仿宋" w:cs="仿宋"/>
              </w:rPr>
            </w:pPr>
            <w:r>
              <w:rPr>
                <w:rFonts w:hint="eastAsia" w:cs="仿宋"/>
                <w:b/>
                <w:bCs/>
                <w:spacing w:val="-8"/>
                <w:lang w:eastAsia="zh-CN"/>
              </w:rPr>
              <w:t>产品价值</w:t>
            </w:r>
          </w:p>
        </w:tc>
      </w:tr>
      <w:tr w14:paraId="543C6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198" w:type="dxa"/>
            <w:vAlign w:val="center"/>
          </w:tcPr>
          <w:p w14:paraId="305FA670">
            <w:pPr>
              <w:pStyle w:val="6"/>
              <w:spacing w:before="241" w:line="265" w:lineRule="auto"/>
              <w:ind w:left="127" w:right="106" w:firstLine="23"/>
              <w:jc w:val="center"/>
              <w:rPr>
                <w:rFonts w:hint="eastAsia" w:ascii="仿宋" w:hAnsi="仿宋" w:eastAsia="仿宋" w:cs="仿宋"/>
              </w:rPr>
            </w:pPr>
            <w:r>
              <w:rPr>
                <w:rFonts w:hint="eastAsia" w:ascii="仿宋" w:hAnsi="仿宋" w:eastAsia="仿宋" w:cs="仿宋"/>
                <w:spacing w:val="2"/>
              </w:rPr>
              <w:t>中山市</w:t>
            </w:r>
            <w:r>
              <w:rPr>
                <w:rFonts w:hint="eastAsia" w:ascii="仿宋" w:hAnsi="仿宋" w:eastAsia="仿宋" w:cs="仿宋"/>
                <w:spacing w:val="2"/>
                <w:lang w:val="en-US" w:eastAsia="zh-CN"/>
              </w:rPr>
              <w:t>口腔</w:t>
            </w:r>
            <w:r>
              <w:rPr>
                <w:rFonts w:hint="eastAsia" w:ascii="仿宋" w:hAnsi="仿宋" w:eastAsia="仿宋" w:cs="仿宋"/>
                <w:spacing w:val="2"/>
              </w:rPr>
              <w:t>医院</w:t>
            </w:r>
          </w:p>
        </w:tc>
        <w:tc>
          <w:tcPr>
            <w:tcW w:w="1800" w:type="dxa"/>
            <w:vAlign w:val="center"/>
          </w:tcPr>
          <w:p w14:paraId="7E761EC1">
            <w:pPr>
              <w:pStyle w:val="6"/>
              <w:spacing w:before="63" w:line="259" w:lineRule="auto"/>
              <w:ind w:left="119" w:right="106" w:firstLine="31"/>
              <w:jc w:val="center"/>
              <w:rPr>
                <w:rFonts w:hint="eastAsia" w:ascii="仿宋" w:hAnsi="仿宋" w:eastAsia="仿宋" w:cs="仿宋"/>
              </w:rPr>
            </w:pPr>
            <w:r>
              <w:rPr>
                <w:rFonts w:hint="eastAsia" w:ascii="仿宋" w:hAnsi="仿宋" w:eastAsia="仿宋" w:cs="仿宋"/>
                <w:spacing w:val="13"/>
              </w:rPr>
              <w:t>中山市</w:t>
            </w:r>
            <w:r>
              <w:rPr>
                <w:rFonts w:hint="eastAsia" w:ascii="仿宋" w:hAnsi="仿宋" w:eastAsia="仿宋" w:cs="仿宋"/>
                <w:spacing w:val="13"/>
                <w:lang w:val="en-US" w:eastAsia="zh-CN"/>
              </w:rPr>
              <w:t>口腔</w:t>
            </w:r>
            <w:r>
              <w:rPr>
                <w:rFonts w:hint="eastAsia" w:ascii="仿宋" w:hAnsi="仿宋" w:eastAsia="仿宋" w:cs="仿宋"/>
                <w:spacing w:val="13"/>
              </w:rPr>
              <w:t>医院2025</w:t>
            </w:r>
            <w:r>
              <w:rPr>
                <w:rFonts w:hint="eastAsia" w:ascii="仿宋" w:hAnsi="仿宋" w:eastAsia="仿宋" w:cs="仿宋"/>
                <w:spacing w:val="16"/>
              </w:rPr>
              <w:t>年</w:t>
            </w:r>
            <w:r>
              <w:rPr>
                <w:rFonts w:hint="eastAsia" w:cs="仿宋"/>
                <w:spacing w:val="16"/>
                <w:lang w:val="en-US" w:eastAsia="zh-CN"/>
              </w:rPr>
              <w:t>中秋</w:t>
            </w:r>
            <w:r>
              <w:rPr>
                <w:rFonts w:hint="eastAsia" w:ascii="仿宋" w:hAnsi="仿宋" w:eastAsia="仿宋" w:cs="仿宋"/>
                <w:spacing w:val="16"/>
                <w:lang w:val="en-US" w:eastAsia="zh-CN"/>
              </w:rPr>
              <w:t>节</w:t>
            </w:r>
            <w:r>
              <w:rPr>
                <w:rFonts w:hint="eastAsia" w:ascii="仿宋" w:hAnsi="仿宋" w:eastAsia="仿宋" w:cs="仿宋"/>
                <w:spacing w:val="16"/>
              </w:rPr>
              <w:t>慰问品采购</w:t>
            </w:r>
            <w:r>
              <w:rPr>
                <w:rFonts w:hint="eastAsia" w:ascii="仿宋" w:hAnsi="仿宋" w:eastAsia="仿宋" w:cs="仿宋"/>
                <w:spacing w:val="-4"/>
              </w:rPr>
              <w:t>项目</w:t>
            </w:r>
          </w:p>
        </w:tc>
        <w:tc>
          <w:tcPr>
            <w:tcW w:w="1163" w:type="dxa"/>
            <w:vAlign w:val="center"/>
          </w:tcPr>
          <w:p w14:paraId="0DFEF279">
            <w:pPr>
              <w:pStyle w:val="6"/>
              <w:spacing w:before="78" w:line="181" w:lineRule="auto"/>
              <w:jc w:val="center"/>
              <w:rPr>
                <w:rFonts w:hint="default" w:ascii="仿宋" w:hAnsi="仿宋" w:eastAsia="仿宋" w:cs="仿宋"/>
                <w:lang w:val="en-US" w:eastAsia="zh-CN"/>
              </w:rPr>
            </w:pPr>
            <w:r>
              <w:rPr>
                <w:rFonts w:hint="eastAsia" w:cs="仿宋"/>
                <w:lang w:val="en-US" w:eastAsia="zh-CN"/>
              </w:rPr>
              <w:t>约</w:t>
            </w:r>
            <w:r>
              <w:rPr>
                <w:rFonts w:hint="eastAsia" w:ascii="仿宋" w:hAnsi="仿宋" w:eastAsia="仿宋" w:cs="仿宋"/>
                <w:lang w:val="en-US" w:eastAsia="zh-CN"/>
              </w:rPr>
              <w:t>25</w:t>
            </w:r>
            <w:r>
              <w:rPr>
                <w:rFonts w:hint="eastAsia" w:cs="仿宋"/>
                <w:lang w:val="en-US" w:eastAsia="zh-CN"/>
              </w:rPr>
              <w:t>2</w:t>
            </w:r>
          </w:p>
        </w:tc>
        <w:tc>
          <w:tcPr>
            <w:tcW w:w="2250" w:type="dxa"/>
            <w:vAlign w:val="center"/>
          </w:tcPr>
          <w:p w14:paraId="69500D29">
            <w:pPr>
              <w:jc w:val="center"/>
              <w:rPr>
                <w:rFonts w:hint="eastAsia" w:ascii="仿宋" w:hAnsi="仿宋" w:eastAsia="仿宋" w:cs="仿宋"/>
              </w:rPr>
            </w:pPr>
            <w:r>
              <w:rPr>
                <w:rFonts w:hint="eastAsia" w:ascii="仿宋" w:hAnsi="仿宋" w:eastAsia="仿宋" w:cs="仿宋"/>
                <w:sz w:val="21"/>
                <w:lang w:eastAsia="zh-CN"/>
              </w:rPr>
              <w:t>“固定套餐”结算单价均为</w:t>
            </w:r>
            <w:r>
              <w:rPr>
                <w:rFonts w:hint="eastAsia" w:ascii="仿宋" w:hAnsi="仿宋" w:eastAsia="仿宋" w:cs="仿宋"/>
                <w:sz w:val="21"/>
                <w:lang w:val="en-US" w:eastAsia="zh-CN"/>
              </w:rPr>
              <w:t>600元/份。</w:t>
            </w:r>
          </w:p>
        </w:tc>
        <w:tc>
          <w:tcPr>
            <w:tcW w:w="2466" w:type="dxa"/>
            <w:vAlign w:val="center"/>
          </w:tcPr>
          <w:p w14:paraId="78F7BBB5">
            <w:pPr>
              <w:pStyle w:val="6"/>
              <w:numPr>
                <w:ilvl w:val="0"/>
                <w:numId w:val="0"/>
              </w:numPr>
              <w:spacing w:before="78" w:line="180" w:lineRule="auto"/>
              <w:jc w:val="center"/>
              <w:rPr>
                <w:rFonts w:hint="eastAsia" w:ascii="仿宋" w:hAnsi="仿宋" w:eastAsia="仿宋" w:cs="仿宋"/>
              </w:rPr>
            </w:pPr>
            <w:r>
              <w:rPr>
                <w:rFonts w:hint="eastAsia" w:ascii="仿宋" w:hAnsi="仿宋" w:eastAsia="仿宋" w:cs="仿宋"/>
                <w:sz w:val="21"/>
                <w:lang w:eastAsia="zh-CN"/>
              </w:rPr>
              <w:t>固定套餐</w:t>
            </w:r>
            <w:r>
              <w:rPr>
                <w:rFonts w:hint="eastAsia" w:cs="仿宋"/>
                <w:sz w:val="21"/>
                <w:lang w:eastAsia="zh-CN"/>
              </w:rPr>
              <w:t>总价值</w:t>
            </w:r>
            <w:r>
              <w:rPr>
                <w:rFonts w:hint="eastAsia" w:ascii="仿宋" w:hAnsi="仿宋" w:eastAsia="仿宋" w:cs="仿宋"/>
                <w:b w:val="0"/>
                <w:bCs w:val="0"/>
                <w:sz w:val="21"/>
                <w:szCs w:val="24"/>
                <w:lang w:val="en-US" w:eastAsia="zh-CN"/>
              </w:rPr>
              <w:t>≥</w:t>
            </w:r>
            <w:r>
              <w:rPr>
                <w:rFonts w:hint="eastAsia" w:cs="仿宋"/>
                <w:b w:val="0"/>
                <w:bCs w:val="0"/>
                <w:sz w:val="21"/>
                <w:szCs w:val="24"/>
                <w:lang w:val="en-US" w:eastAsia="zh-CN"/>
              </w:rPr>
              <w:t>600</w:t>
            </w:r>
            <w:r>
              <w:rPr>
                <w:rFonts w:hint="eastAsia" w:ascii="仿宋" w:hAnsi="仿宋" w:eastAsia="仿宋" w:cs="仿宋"/>
                <w:b w:val="0"/>
                <w:bCs w:val="0"/>
                <w:sz w:val="21"/>
                <w:szCs w:val="24"/>
                <w:lang w:val="en-US" w:eastAsia="zh-CN"/>
              </w:rPr>
              <w:t>元/份</w:t>
            </w:r>
            <w:r>
              <w:rPr>
                <w:rFonts w:hint="eastAsia" w:cs="仿宋"/>
                <w:b w:val="0"/>
                <w:bCs w:val="0"/>
                <w:sz w:val="21"/>
                <w:szCs w:val="24"/>
                <w:lang w:val="en-US" w:eastAsia="zh-CN"/>
              </w:rPr>
              <w:t>。</w:t>
            </w:r>
          </w:p>
        </w:tc>
      </w:tr>
    </w:tbl>
    <w:p w14:paraId="372DC2B3">
      <w:pPr>
        <w:numPr>
          <w:ilvl w:val="0"/>
          <w:numId w:val="0"/>
        </w:numPr>
        <w:jc w:val="both"/>
        <w:rPr>
          <w:rFonts w:hint="eastAsia"/>
          <w:b/>
          <w:bCs/>
          <w:sz w:val="24"/>
          <w:szCs w:val="32"/>
          <w:lang w:val="en-US" w:eastAsia="zh-CN"/>
        </w:rPr>
      </w:pPr>
    </w:p>
    <w:p w14:paraId="027F83B5">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1、供应商应对此次调研需要的货物及服务提供市场调研资料（包括但不限于：套装内容、服务方案、售后服务、报价、备货周期时长、供货时长、配送范围及方式等），不接受只对产品进行报价。</w:t>
      </w:r>
    </w:p>
    <w:p w14:paraId="73837CBD">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2、报价要求：供应商报价时应充分考虑货物的供应、包装、运输、售后服务、人员投入费用、税费等，综合考虑自身的成本提供最优方案。</w:t>
      </w:r>
    </w:p>
    <w:p w14:paraId="463512E5">
      <w:pPr>
        <w:numPr>
          <w:ilvl w:val="0"/>
          <w:numId w:val="0"/>
        </w:numPr>
        <w:jc w:val="both"/>
        <w:rPr>
          <w:rFonts w:hint="default" w:ascii="仿宋" w:hAnsi="仿宋" w:eastAsia="仿宋" w:cs="仿宋"/>
          <w:b w:val="0"/>
          <w:bCs w:val="0"/>
          <w:sz w:val="28"/>
          <w:szCs w:val="28"/>
          <w:lang w:val="en-US" w:eastAsia="zh-CN"/>
        </w:rPr>
      </w:pPr>
      <w:bookmarkStart w:id="0" w:name="_GoBack"/>
      <w:r>
        <w:rPr>
          <w:rFonts w:hint="eastAsia" w:ascii="仿宋" w:hAnsi="仿宋" w:eastAsia="仿宋" w:cs="仿宋"/>
          <w:b w:val="0"/>
          <w:bCs w:val="0"/>
          <w:sz w:val="28"/>
          <w:szCs w:val="28"/>
          <w:lang w:val="en-US" w:eastAsia="zh-CN"/>
        </w:rPr>
        <w:t>3、参与调研供应商需按本需求的附件1“</w:t>
      </w:r>
      <w:r>
        <w:rPr>
          <w:rFonts w:hint="eastAsia" w:ascii="仿宋" w:hAnsi="仿宋" w:eastAsia="仿宋" w:cs="仿宋"/>
          <w:b w:val="0"/>
          <w:bCs w:val="0"/>
          <w:i w:val="0"/>
          <w:iCs w:val="0"/>
          <w:color w:val="auto"/>
          <w:kern w:val="2"/>
          <w:sz w:val="28"/>
          <w:szCs w:val="28"/>
          <w:u w:val="none"/>
          <w:lang w:val="en-US" w:eastAsia="zh-CN" w:bidi="ar"/>
        </w:rPr>
        <w:t>市场调研报价表”的内容提供报价方案4个或以上（详情表1）</w:t>
      </w:r>
      <w:r>
        <w:rPr>
          <w:rFonts w:hint="eastAsia" w:ascii="仿宋" w:hAnsi="仿宋" w:eastAsia="仿宋" w:cs="仿宋"/>
          <w:b w:val="0"/>
          <w:bCs w:val="0"/>
          <w:sz w:val="28"/>
          <w:szCs w:val="28"/>
          <w:lang w:val="en-US" w:eastAsia="zh-CN"/>
        </w:rPr>
        <w:t>。</w:t>
      </w:r>
    </w:p>
    <w:p w14:paraId="3A39CFD2">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4、供应商须具有有效的工商营业执照、食品经营许可证。</w:t>
      </w:r>
    </w:p>
    <w:bookmarkEnd w:id="0"/>
    <w:p w14:paraId="3D45C83B">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5、在调研文件中标注“★”标识的内容条款被视为重要的响应要求、技术指标要求。供应商必须对此作全面响应和满足。</w:t>
      </w:r>
    </w:p>
    <w:p w14:paraId="11A7953E">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二、项目概况：</w:t>
      </w:r>
    </w:p>
    <w:p w14:paraId="7F9BE48F">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中山市口腔医院现拟采购2025年中秋节慰问品一批（价格包括但不限于标的的货款、税费、分装、运送（如快递、物流派送到家）、简要技术需求或服务要求等一切费用。）采购数量约252份。</w:t>
      </w:r>
    </w:p>
    <w:p w14:paraId="3F9A57F6">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★第一条慰问品要求：</w:t>
      </w:r>
    </w:p>
    <w:p w14:paraId="0421B4F1">
      <w:pPr>
        <w:numPr>
          <w:ilvl w:val="0"/>
          <w:numId w:val="2"/>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原则上为健康绿色食品和生活用品、月饼、应季水果等产品。</w:t>
      </w:r>
    </w:p>
    <w:p w14:paraId="3E31DAA3">
      <w:pPr>
        <w:numPr>
          <w:ilvl w:val="0"/>
          <w:numId w:val="2"/>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i w:val="0"/>
          <w:iCs w:val="0"/>
          <w:color w:val="auto"/>
          <w:kern w:val="2"/>
          <w:sz w:val="28"/>
          <w:szCs w:val="28"/>
          <w:u w:val="none"/>
          <w:lang w:val="en-US" w:eastAsia="zh-CN" w:bidi="ar"/>
        </w:rPr>
        <w:t>提供的报价方案4个或以上中需满足：①</w:t>
      </w:r>
      <w:r>
        <w:rPr>
          <w:rFonts w:hint="eastAsia" w:ascii="仿宋" w:hAnsi="仿宋" w:eastAsia="仿宋" w:cs="仿宋"/>
          <w:b w:val="0"/>
          <w:bCs w:val="0"/>
          <w:sz w:val="28"/>
          <w:szCs w:val="28"/>
          <w:lang w:val="en-US" w:eastAsia="zh-CN"/>
        </w:rPr>
        <w:t>含月饼的套餐2个及以上；②不含月饼的套餐2个及以上。</w:t>
      </w:r>
    </w:p>
    <w:p w14:paraId="2284AAE2">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3、质量要求：成交供应商配送的货物必须与报价产品一致，并且提供的货物在满足采购人的需求前提下必须符合国家质量安全标准和食品卫生标准，其中食品剩余保质期应不少于质保期总量的三分之二。</w:t>
      </w:r>
    </w:p>
    <w:p w14:paraId="18034F74">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4、套餐商品用物流箱打包，以方便转运。</w:t>
      </w:r>
    </w:p>
    <w:p w14:paraId="1B5F0A0B">
      <w:pPr>
        <w:numPr>
          <w:ilvl w:val="0"/>
          <w:numId w:val="0"/>
        </w:numPr>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5、供货时间要求：具体以采购方通知时间为准。</w:t>
      </w:r>
    </w:p>
    <w:p w14:paraId="6867E70A">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★第二条潜在供应商的义务</w:t>
      </w:r>
    </w:p>
    <w:p w14:paraId="54B03A40">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1、供应商须提供快递物流等配送方式送至中山市口腔医院职工指定范围（可通过链接指定位置送达）；</w:t>
      </w:r>
    </w:p>
    <w:p w14:paraId="73EE93F6">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2、供应商必须承诺提供的产品为合法销售、渠道正规、全新正品，符合国家有关质量标准。如出现严重质量问题或产品制造商推诿服务质量责任时，供应商须承担最终责任并提供质量和服务保障。</w:t>
      </w:r>
    </w:p>
    <w:p w14:paraId="41F6C7F0">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供应商应及时响应采购方提出的合理要求和建议，采购方在使用过程中发现质量问题，供应商应在收到采购人通知后24小时内给予更换，若就货物质量产生分歧纠纷，可委托专业公司或有资质的机构进行委托检测，检测费用由成交供应商支付，调研人有权追究其法律责任。</w:t>
      </w:r>
    </w:p>
    <w:p w14:paraId="02853E1D">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4、如遇水灾，火灾等自然灾害导致供货延迟等不可抗拒因素，导致合同内产品不能按期交货，必须在三天内书面和电话告知采购方，在得到同意后，明确提出解决方案和交货时间。</w:t>
      </w:r>
    </w:p>
    <w:p w14:paraId="5527A992">
      <w:pPr>
        <w:numPr>
          <w:ilvl w:val="0"/>
          <w:numId w:val="0"/>
        </w:numPr>
        <w:jc w:val="both"/>
        <w:rPr>
          <w:rFonts w:hint="eastAsia" w:ascii="仿宋" w:hAnsi="仿宋" w:eastAsia="仿宋" w:cs="仿宋"/>
          <w:b w:val="0"/>
          <w:bCs w:val="0"/>
          <w:sz w:val="28"/>
          <w:szCs w:val="28"/>
          <w:lang w:val="en-US" w:eastAsia="zh-CN"/>
        </w:rPr>
      </w:pPr>
    </w:p>
    <w:tbl>
      <w:tblPr>
        <w:tblStyle w:val="3"/>
        <w:tblW w:w="114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94"/>
      </w:tblGrid>
      <w:tr w14:paraId="2D51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1494" w:type="dxa"/>
            <w:tcBorders>
              <w:top w:val="nil"/>
              <w:left w:val="nil"/>
              <w:bottom w:val="nil"/>
              <w:right w:val="nil"/>
            </w:tcBorders>
            <w:shd w:val="clear" w:color="auto" w:fill="auto"/>
            <w:vAlign w:val="top"/>
          </w:tcPr>
          <w:p w14:paraId="0AE54E99">
            <w:pPr>
              <w:rPr>
                <w:rFonts w:hint="default" w:ascii="Arial" w:hAnsi="Arial" w:cs="Arial" w:eastAsiaTheme="minorEastAsia"/>
                <w:i w:val="0"/>
                <w:iCs w:val="0"/>
                <w:color w:val="000000"/>
                <w:sz w:val="22"/>
                <w:szCs w:val="22"/>
                <w:u w:val="none"/>
                <w:lang w:val="en-US" w:eastAsia="zh-CN"/>
              </w:rPr>
            </w:pPr>
            <w:r>
              <w:rPr>
                <w:rFonts w:hint="eastAsia" w:ascii="仿宋" w:hAnsi="仿宋" w:eastAsia="仿宋" w:cs="仿宋"/>
                <w:b/>
                <w:bCs/>
                <w:i w:val="0"/>
                <w:iCs w:val="0"/>
                <w:color w:val="000000"/>
                <w:kern w:val="0"/>
                <w:sz w:val="30"/>
                <w:szCs w:val="30"/>
                <w:u w:val="none"/>
                <w:lang w:val="en-US" w:eastAsia="zh-CN" w:bidi="ar"/>
              </w:rPr>
              <w:t>附件1：市场调研报价表</w:t>
            </w:r>
          </w:p>
        </w:tc>
      </w:tr>
    </w:tbl>
    <w:p w14:paraId="39BA05BD">
      <w:pPr>
        <w:numPr>
          <w:ilvl w:val="0"/>
          <w:numId w:val="0"/>
        </w:numPr>
        <w:jc w:val="both"/>
        <w:rPr>
          <w:rFonts w:hint="eastAsia" w:ascii="仿宋" w:hAnsi="仿宋" w:eastAsia="仿宋" w:cs="仿宋"/>
          <w:b w:val="0"/>
          <w:bCs w:val="0"/>
          <w:sz w:val="28"/>
          <w:szCs w:val="28"/>
          <w:lang w:val="en-US" w:eastAsia="zh-CN"/>
        </w:rPr>
      </w:pPr>
    </w:p>
    <w:tbl>
      <w:tblPr>
        <w:tblStyle w:val="3"/>
        <w:tblW w:w="11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2663"/>
        <w:gridCol w:w="1727"/>
        <w:gridCol w:w="1834"/>
        <w:gridCol w:w="1615"/>
        <w:gridCol w:w="2446"/>
      </w:tblGrid>
      <w:tr w14:paraId="7666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112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3A67E5">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表1：中山市口腔医院2025年中秋节慰问品采购市场调研报价表（固定套餐）</w:t>
            </w:r>
          </w:p>
        </w:tc>
      </w:tr>
      <w:tr w14:paraId="445D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BD35">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35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商品名称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4BDF">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品牌</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356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规格</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0A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单价</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36A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产品图片</w:t>
            </w:r>
          </w:p>
        </w:tc>
      </w:tr>
      <w:tr w14:paraId="5EA5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C4EA">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99E6">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C353">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1BE3">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C5C0">
            <w:pPr>
              <w:jc w:val="center"/>
              <w:rPr>
                <w:rFonts w:hint="default" w:ascii="Arial" w:hAnsi="Arial" w:cs="Arial"/>
                <w:i w:val="0"/>
                <w:iCs w:val="0"/>
                <w:color w:val="000000"/>
                <w:sz w:val="22"/>
                <w:szCs w:val="22"/>
                <w:u w:val="none"/>
              </w:rPr>
            </w:pPr>
          </w:p>
        </w:tc>
        <w:tc>
          <w:tcPr>
            <w:tcW w:w="24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69FBC52">
            <w:pPr>
              <w:jc w:val="left"/>
              <w:rPr>
                <w:rFonts w:hint="default" w:ascii="Arial" w:hAnsi="Arial" w:cs="Arial"/>
                <w:i w:val="0"/>
                <w:iCs w:val="0"/>
                <w:color w:val="000000"/>
                <w:sz w:val="22"/>
                <w:szCs w:val="22"/>
                <w:u w:val="none"/>
              </w:rPr>
            </w:pPr>
          </w:p>
        </w:tc>
      </w:tr>
      <w:tr w14:paraId="0DEA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0E50">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547F">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63C8">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8DFD">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3F0B">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0CF12B">
            <w:pPr>
              <w:jc w:val="left"/>
              <w:rPr>
                <w:rFonts w:hint="default" w:ascii="Arial" w:hAnsi="Arial" w:cs="Arial"/>
                <w:i w:val="0"/>
                <w:iCs w:val="0"/>
                <w:color w:val="000000"/>
                <w:sz w:val="22"/>
                <w:szCs w:val="22"/>
                <w:u w:val="none"/>
              </w:rPr>
            </w:pPr>
          </w:p>
        </w:tc>
      </w:tr>
      <w:tr w14:paraId="4E00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5756">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940D">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8485">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54E6">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8EE4">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8ED521">
            <w:pPr>
              <w:jc w:val="left"/>
              <w:rPr>
                <w:rFonts w:hint="default" w:ascii="Arial" w:hAnsi="Arial" w:cs="Arial"/>
                <w:i w:val="0"/>
                <w:iCs w:val="0"/>
                <w:color w:val="000000"/>
                <w:sz w:val="22"/>
                <w:szCs w:val="22"/>
                <w:u w:val="none"/>
              </w:rPr>
            </w:pPr>
          </w:p>
        </w:tc>
      </w:tr>
      <w:tr w14:paraId="07A6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B5CA">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7A9B">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7950">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0C03">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E925">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0CDA14">
            <w:pPr>
              <w:jc w:val="left"/>
              <w:rPr>
                <w:rFonts w:hint="default" w:ascii="Arial" w:hAnsi="Arial" w:cs="Arial"/>
                <w:i w:val="0"/>
                <w:iCs w:val="0"/>
                <w:color w:val="000000"/>
                <w:sz w:val="22"/>
                <w:szCs w:val="22"/>
                <w:u w:val="none"/>
              </w:rPr>
            </w:pPr>
          </w:p>
        </w:tc>
      </w:tr>
      <w:tr w14:paraId="1F4B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2EFB">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BACD">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E053">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9092">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5F33">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95903C">
            <w:pPr>
              <w:jc w:val="left"/>
              <w:rPr>
                <w:rFonts w:hint="default" w:ascii="Arial" w:hAnsi="Arial" w:cs="Arial"/>
                <w:i w:val="0"/>
                <w:iCs w:val="0"/>
                <w:color w:val="000000"/>
                <w:sz w:val="22"/>
                <w:szCs w:val="22"/>
                <w:u w:val="none"/>
              </w:rPr>
            </w:pPr>
          </w:p>
        </w:tc>
      </w:tr>
      <w:tr w14:paraId="4629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0BC">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76C">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07A4">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7CB9">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B9EB">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C843EF">
            <w:pPr>
              <w:jc w:val="left"/>
              <w:rPr>
                <w:rFonts w:hint="default" w:ascii="Arial" w:hAnsi="Arial" w:cs="Arial"/>
                <w:i w:val="0"/>
                <w:iCs w:val="0"/>
                <w:color w:val="000000"/>
                <w:sz w:val="22"/>
                <w:szCs w:val="22"/>
                <w:u w:val="none"/>
              </w:rPr>
            </w:pPr>
          </w:p>
        </w:tc>
      </w:tr>
      <w:tr w14:paraId="795D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083D">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5D2F">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EA90">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C6F9">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DCC">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722AE7">
            <w:pPr>
              <w:jc w:val="left"/>
              <w:rPr>
                <w:rFonts w:hint="default" w:ascii="Arial" w:hAnsi="Arial" w:cs="Arial"/>
                <w:i w:val="0"/>
                <w:iCs w:val="0"/>
                <w:color w:val="000000"/>
                <w:sz w:val="22"/>
                <w:szCs w:val="22"/>
                <w:u w:val="none"/>
              </w:rPr>
            </w:pPr>
          </w:p>
        </w:tc>
      </w:tr>
      <w:tr w14:paraId="2094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4E3F">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EABD">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3512">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56C5">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6F46">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1297FF">
            <w:pPr>
              <w:jc w:val="left"/>
              <w:rPr>
                <w:rFonts w:hint="default" w:ascii="Arial" w:hAnsi="Arial" w:cs="Arial"/>
                <w:i w:val="0"/>
                <w:iCs w:val="0"/>
                <w:color w:val="000000"/>
                <w:sz w:val="22"/>
                <w:szCs w:val="22"/>
                <w:u w:val="none"/>
              </w:rPr>
            </w:pPr>
          </w:p>
        </w:tc>
      </w:tr>
      <w:tr w14:paraId="24C6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555D">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0EF7">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A1EB">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506D">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393C">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1F823A">
            <w:pPr>
              <w:jc w:val="left"/>
              <w:rPr>
                <w:rFonts w:hint="default" w:ascii="Arial" w:hAnsi="Arial" w:cs="Arial"/>
                <w:i w:val="0"/>
                <w:iCs w:val="0"/>
                <w:color w:val="000000"/>
                <w:sz w:val="22"/>
                <w:szCs w:val="22"/>
                <w:u w:val="none"/>
              </w:rPr>
            </w:pPr>
          </w:p>
        </w:tc>
      </w:tr>
      <w:tr w14:paraId="02CE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4FEC">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D96C">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0251">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8267">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6E06">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54CADD">
            <w:pPr>
              <w:jc w:val="left"/>
              <w:rPr>
                <w:rFonts w:hint="default" w:ascii="Arial" w:hAnsi="Arial" w:cs="Arial"/>
                <w:i w:val="0"/>
                <w:iCs w:val="0"/>
                <w:color w:val="000000"/>
                <w:sz w:val="22"/>
                <w:szCs w:val="22"/>
                <w:u w:val="none"/>
              </w:rPr>
            </w:pPr>
          </w:p>
        </w:tc>
      </w:tr>
      <w:tr w14:paraId="5EF9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D056">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261B">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A12C">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F9B5">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B279">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0DBCC8">
            <w:pPr>
              <w:jc w:val="left"/>
              <w:rPr>
                <w:rFonts w:hint="default" w:ascii="Arial" w:hAnsi="Arial" w:cs="Arial"/>
                <w:i w:val="0"/>
                <w:iCs w:val="0"/>
                <w:color w:val="000000"/>
                <w:sz w:val="22"/>
                <w:szCs w:val="22"/>
                <w:u w:val="none"/>
              </w:rPr>
            </w:pPr>
          </w:p>
        </w:tc>
      </w:tr>
      <w:tr w14:paraId="45C3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CB7F">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530A">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97AC">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B13C">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DB7B">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300CC5">
            <w:pPr>
              <w:jc w:val="left"/>
              <w:rPr>
                <w:rFonts w:hint="default" w:ascii="Arial" w:hAnsi="Arial" w:cs="Arial"/>
                <w:i w:val="0"/>
                <w:iCs w:val="0"/>
                <w:color w:val="000000"/>
                <w:sz w:val="22"/>
                <w:szCs w:val="22"/>
                <w:u w:val="none"/>
              </w:rPr>
            </w:pPr>
          </w:p>
        </w:tc>
      </w:tr>
      <w:tr w14:paraId="49A6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D8DA">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F692">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CAFB">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77EC">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2805">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4DF1D6">
            <w:pPr>
              <w:jc w:val="left"/>
              <w:rPr>
                <w:rFonts w:hint="default" w:ascii="Arial" w:hAnsi="Arial" w:cs="Arial"/>
                <w:i w:val="0"/>
                <w:iCs w:val="0"/>
                <w:color w:val="000000"/>
                <w:sz w:val="22"/>
                <w:szCs w:val="22"/>
                <w:u w:val="none"/>
              </w:rPr>
            </w:pPr>
          </w:p>
        </w:tc>
      </w:tr>
      <w:tr w14:paraId="2A3B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239C">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B002">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51B8">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D86F">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3F69">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819BBE">
            <w:pPr>
              <w:jc w:val="left"/>
              <w:rPr>
                <w:rFonts w:hint="default" w:ascii="Arial" w:hAnsi="Arial" w:cs="Arial"/>
                <w:i w:val="0"/>
                <w:iCs w:val="0"/>
                <w:color w:val="000000"/>
                <w:sz w:val="22"/>
                <w:szCs w:val="22"/>
                <w:u w:val="none"/>
              </w:rPr>
            </w:pPr>
          </w:p>
        </w:tc>
      </w:tr>
      <w:tr w14:paraId="3642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439F">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A1A3">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3E0B">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3205">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6DE6">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43EB61">
            <w:pPr>
              <w:jc w:val="left"/>
              <w:rPr>
                <w:rFonts w:hint="default" w:ascii="Arial" w:hAnsi="Arial" w:cs="Arial"/>
                <w:i w:val="0"/>
                <w:iCs w:val="0"/>
                <w:color w:val="000000"/>
                <w:sz w:val="22"/>
                <w:szCs w:val="22"/>
                <w:u w:val="none"/>
              </w:rPr>
            </w:pPr>
          </w:p>
        </w:tc>
      </w:tr>
      <w:tr w14:paraId="1DBB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C724">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AC64">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608B">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4F9F">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5C6A">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8EEC2C">
            <w:pPr>
              <w:jc w:val="left"/>
              <w:rPr>
                <w:rFonts w:hint="default" w:ascii="Arial" w:hAnsi="Arial" w:cs="Arial"/>
                <w:i w:val="0"/>
                <w:iCs w:val="0"/>
                <w:color w:val="000000"/>
                <w:sz w:val="22"/>
                <w:szCs w:val="22"/>
                <w:u w:val="none"/>
              </w:rPr>
            </w:pPr>
          </w:p>
        </w:tc>
      </w:tr>
      <w:tr w14:paraId="43FC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A49E">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0992">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C5E2">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7C0D">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8CCC">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0D8E84">
            <w:pPr>
              <w:jc w:val="left"/>
              <w:rPr>
                <w:rFonts w:hint="default" w:ascii="Arial" w:hAnsi="Arial" w:cs="Arial"/>
                <w:i w:val="0"/>
                <w:iCs w:val="0"/>
                <w:color w:val="000000"/>
                <w:sz w:val="22"/>
                <w:szCs w:val="22"/>
                <w:u w:val="none"/>
              </w:rPr>
            </w:pPr>
          </w:p>
        </w:tc>
      </w:tr>
      <w:tr w14:paraId="6E4C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BCF8">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913F">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AFB0">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5568">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70F0">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010281">
            <w:pPr>
              <w:jc w:val="left"/>
              <w:rPr>
                <w:rFonts w:hint="default" w:ascii="Arial" w:hAnsi="Arial" w:cs="Arial"/>
                <w:i w:val="0"/>
                <w:iCs w:val="0"/>
                <w:color w:val="000000"/>
                <w:sz w:val="22"/>
                <w:szCs w:val="22"/>
                <w:u w:val="none"/>
              </w:rPr>
            </w:pPr>
          </w:p>
        </w:tc>
      </w:tr>
      <w:tr w14:paraId="6A15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DB2">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3BED">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55E8">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514F">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B187">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0E649F">
            <w:pPr>
              <w:jc w:val="left"/>
              <w:rPr>
                <w:rFonts w:hint="default" w:ascii="Arial" w:hAnsi="Arial" w:cs="Arial"/>
                <w:i w:val="0"/>
                <w:iCs w:val="0"/>
                <w:color w:val="000000"/>
                <w:sz w:val="22"/>
                <w:szCs w:val="22"/>
                <w:u w:val="none"/>
              </w:rPr>
            </w:pPr>
          </w:p>
        </w:tc>
      </w:tr>
      <w:tr w14:paraId="506F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6C6A">
            <w:pPr>
              <w:jc w:val="center"/>
              <w:rPr>
                <w:rFonts w:hint="default" w:ascii="Arial" w:hAnsi="Arial" w:cs="Arial"/>
                <w:i w:val="0"/>
                <w:iCs w:val="0"/>
                <w:color w:val="000000"/>
                <w:sz w:val="22"/>
                <w:szCs w:val="22"/>
                <w:u w:val="none"/>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00AC">
            <w:pPr>
              <w:jc w:val="center"/>
              <w:rPr>
                <w:rFonts w:hint="default" w:ascii="Arial" w:hAnsi="Arial" w:cs="Arial"/>
                <w:i w:val="0"/>
                <w:iCs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E61A">
            <w:pPr>
              <w:jc w:val="center"/>
              <w:rPr>
                <w:rFonts w:hint="default" w:ascii="Arial" w:hAnsi="Arial" w:cs="Arial"/>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B32D">
            <w:pPr>
              <w:jc w:val="center"/>
              <w:rPr>
                <w:rFonts w:hint="default" w:ascii="Arial" w:hAnsi="Arial" w:cs="Arial"/>
                <w:i w:val="0"/>
                <w:iCs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CA2A">
            <w:pPr>
              <w:jc w:val="center"/>
              <w:rPr>
                <w:rFonts w:hint="default" w:ascii="Arial" w:hAnsi="Arial" w:cs="Arial"/>
                <w:i w:val="0"/>
                <w:iCs w:val="0"/>
                <w:color w:val="000000"/>
                <w:sz w:val="22"/>
                <w:szCs w:val="22"/>
                <w:u w:val="none"/>
              </w:rPr>
            </w:pPr>
          </w:p>
        </w:tc>
        <w:tc>
          <w:tcPr>
            <w:tcW w:w="2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A4E463">
            <w:pPr>
              <w:jc w:val="left"/>
              <w:rPr>
                <w:rFonts w:hint="default" w:ascii="Arial" w:hAnsi="Arial" w:cs="Arial"/>
                <w:i w:val="0"/>
                <w:iCs w:val="0"/>
                <w:color w:val="000000"/>
                <w:sz w:val="22"/>
                <w:szCs w:val="22"/>
                <w:u w:val="none"/>
              </w:rPr>
            </w:pPr>
          </w:p>
        </w:tc>
      </w:tr>
    </w:tbl>
    <w:tbl>
      <w:tblPr>
        <w:tblStyle w:val="3"/>
        <w:tblpPr w:leftFromText="180" w:rightFromText="180" w:vertAnchor="text" w:horzAnchor="page" w:tblpXSpec="center" w:tblpY="76"/>
        <w:tblOverlap w:val="never"/>
        <w:tblW w:w="11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1727"/>
        <w:gridCol w:w="1834"/>
        <w:gridCol w:w="4061"/>
      </w:tblGrid>
      <w:tr w14:paraId="4FAA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1" w:hRule="atLeast"/>
          <w:jc w:val="center"/>
        </w:trPr>
        <w:tc>
          <w:tcPr>
            <w:tcW w:w="11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0433B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p w14:paraId="21CE318B">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如有其他套餐方案，可延用此表格。</w:t>
            </w:r>
          </w:p>
          <w:p w14:paraId="0F428048">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报价含税：提供增值税专票或普票。</w:t>
            </w:r>
            <w:r>
              <w:rPr>
                <w:rFonts w:hint="default"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3、套餐商品用物流箱打包。</w:t>
            </w:r>
            <w:r>
              <w:rPr>
                <w:rFonts w:hint="default"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4、单价报价应包含了货物采购、税费、包装、运输、装卸、搬运、不合格货物的退换以及合同实施过程中的可预见及不可预见费用。</w:t>
            </w:r>
            <w:r>
              <w:rPr>
                <w:rFonts w:hint="default"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5、须附上套餐所含的全部产品图片，图片须清晰可见，或单独提供图片资料。</w:t>
            </w:r>
          </w:p>
          <w:p w14:paraId="7EE899CB">
            <w:pPr>
              <w:keepNext w:val="0"/>
              <w:keepLines w:val="0"/>
              <w:widowControl/>
              <w:numPr>
                <w:ilvl w:val="0"/>
                <w:numId w:val="0"/>
              </w:numPr>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6、货物图片可根据实际情况另外附页补充（需盖公章）。</w:t>
            </w:r>
          </w:p>
        </w:tc>
      </w:tr>
      <w:tr w14:paraId="48B8D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636" w:type="dxa"/>
            <w:tcBorders>
              <w:top w:val="nil"/>
              <w:left w:val="nil"/>
              <w:bottom w:val="nil"/>
              <w:right w:val="nil"/>
            </w:tcBorders>
            <w:shd w:val="clear" w:color="auto" w:fill="auto"/>
            <w:noWrap/>
            <w:vAlign w:val="bottom"/>
          </w:tcPr>
          <w:p w14:paraId="3AD2705A">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center"/>
          </w:tcPr>
          <w:p w14:paraId="7D4FE3B7">
            <w:pPr>
              <w:keepNext w:val="0"/>
              <w:keepLines w:val="0"/>
              <w:widowControl/>
              <w:suppressLineNumbers w:val="0"/>
              <w:ind w:firstLineChars="200"/>
              <w:jc w:val="left"/>
              <w:textAlignment w:val="center"/>
              <w:rPr>
                <w:rStyle w:val="15"/>
                <w:lang w:val="en-US" w:eastAsia="zh-CN" w:bidi="ar"/>
              </w:rPr>
            </w:pPr>
          </w:p>
        </w:tc>
        <w:tc>
          <w:tcPr>
            <w:tcW w:w="1834" w:type="dxa"/>
            <w:tcBorders>
              <w:top w:val="nil"/>
              <w:left w:val="nil"/>
              <w:bottom w:val="nil"/>
              <w:right w:val="nil"/>
            </w:tcBorders>
            <w:shd w:val="clear" w:color="auto" w:fill="auto"/>
            <w:vAlign w:val="center"/>
          </w:tcPr>
          <w:p w14:paraId="64C695FD">
            <w:pPr>
              <w:keepNext w:val="0"/>
              <w:keepLines w:val="0"/>
              <w:widowControl/>
              <w:suppressLineNumbers w:val="0"/>
              <w:ind w:firstLineChars="200"/>
              <w:jc w:val="left"/>
              <w:textAlignment w:val="center"/>
              <w:rPr>
                <w:rStyle w:val="15"/>
                <w:lang w:val="en-US" w:eastAsia="zh-CN" w:bidi="ar"/>
              </w:rPr>
            </w:pPr>
          </w:p>
        </w:tc>
        <w:tc>
          <w:tcPr>
            <w:tcW w:w="4061" w:type="dxa"/>
            <w:tcBorders>
              <w:top w:val="nil"/>
              <w:left w:val="nil"/>
              <w:bottom w:val="nil"/>
              <w:right w:val="nil"/>
            </w:tcBorders>
            <w:shd w:val="clear" w:color="auto" w:fill="auto"/>
            <w:vAlign w:val="center"/>
          </w:tcPr>
          <w:p w14:paraId="68760725">
            <w:pPr>
              <w:keepNext w:val="0"/>
              <w:keepLines w:val="0"/>
              <w:widowControl/>
              <w:suppressLineNumbers w:val="0"/>
              <w:jc w:val="both"/>
              <w:textAlignment w:val="center"/>
              <w:rPr>
                <w:rFonts w:ascii="宋体" w:hAnsi="宋体" w:eastAsia="宋体" w:cs="宋体"/>
                <w:i w:val="0"/>
                <w:iCs w:val="0"/>
                <w:color w:val="000000"/>
                <w:sz w:val="24"/>
                <w:szCs w:val="24"/>
                <w:u w:val="none"/>
              </w:rPr>
            </w:pPr>
            <w:r>
              <w:rPr>
                <w:rStyle w:val="15"/>
                <w:sz w:val="24"/>
                <w:szCs w:val="24"/>
                <w:lang w:val="en-US" w:eastAsia="zh-CN" w:bidi="ar"/>
              </w:rPr>
              <w:t>报价单位（签章）：</w:t>
            </w:r>
          </w:p>
        </w:tc>
      </w:tr>
      <w:tr w14:paraId="7C54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636" w:type="dxa"/>
            <w:tcBorders>
              <w:top w:val="nil"/>
              <w:left w:val="nil"/>
              <w:bottom w:val="nil"/>
              <w:right w:val="nil"/>
            </w:tcBorders>
            <w:shd w:val="clear" w:color="auto" w:fill="auto"/>
            <w:noWrap/>
            <w:vAlign w:val="bottom"/>
          </w:tcPr>
          <w:p w14:paraId="2E4DC8F4">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center"/>
          </w:tcPr>
          <w:p w14:paraId="5D96F80D">
            <w:pPr>
              <w:keepNext w:val="0"/>
              <w:keepLines w:val="0"/>
              <w:widowControl/>
              <w:suppressLineNumbers w:val="0"/>
              <w:ind w:firstLineChars="200"/>
              <w:jc w:val="left"/>
              <w:textAlignment w:val="center"/>
              <w:rPr>
                <w:rStyle w:val="15"/>
                <w:lang w:val="en-US" w:eastAsia="zh-CN" w:bidi="ar"/>
              </w:rPr>
            </w:pPr>
          </w:p>
        </w:tc>
        <w:tc>
          <w:tcPr>
            <w:tcW w:w="1834" w:type="dxa"/>
            <w:tcBorders>
              <w:top w:val="nil"/>
              <w:left w:val="nil"/>
              <w:bottom w:val="nil"/>
              <w:right w:val="nil"/>
            </w:tcBorders>
            <w:shd w:val="clear" w:color="auto" w:fill="auto"/>
            <w:vAlign w:val="center"/>
          </w:tcPr>
          <w:p w14:paraId="25316ACA">
            <w:pPr>
              <w:keepNext w:val="0"/>
              <w:keepLines w:val="0"/>
              <w:widowControl/>
              <w:suppressLineNumbers w:val="0"/>
              <w:ind w:firstLineChars="200"/>
              <w:jc w:val="left"/>
              <w:textAlignment w:val="center"/>
              <w:rPr>
                <w:rStyle w:val="15"/>
                <w:lang w:val="en-US" w:eastAsia="zh-CN" w:bidi="ar"/>
              </w:rPr>
            </w:pPr>
          </w:p>
        </w:tc>
        <w:tc>
          <w:tcPr>
            <w:tcW w:w="4061" w:type="dxa"/>
            <w:tcBorders>
              <w:top w:val="nil"/>
              <w:left w:val="nil"/>
              <w:bottom w:val="nil"/>
              <w:right w:val="nil"/>
            </w:tcBorders>
            <w:shd w:val="clear" w:color="auto" w:fill="auto"/>
            <w:vAlign w:val="center"/>
          </w:tcPr>
          <w:p w14:paraId="0C257E84">
            <w:pPr>
              <w:keepNext w:val="0"/>
              <w:keepLines w:val="0"/>
              <w:widowControl/>
              <w:suppressLineNumbers w:val="0"/>
              <w:jc w:val="both"/>
              <w:textAlignment w:val="center"/>
              <w:rPr>
                <w:rFonts w:ascii="宋体" w:hAnsi="宋体" w:eastAsia="宋体" w:cs="宋体"/>
                <w:i w:val="0"/>
                <w:iCs w:val="0"/>
                <w:color w:val="000000"/>
                <w:sz w:val="24"/>
                <w:szCs w:val="24"/>
                <w:u w:val="none"/>
              </w:rPr>
            </w:pPr>
            <w:r>
              <w:rPr>
                <w:rStyle w:val="15"/>
                <w:sz w:val="24"/>
                <w:szCs w:val="24"/>
                <w:lang w:val="en-US" w:eastAsia="zh-CN" w:bidi="ar"/>
              </w:rPr>
              <w:t>法定代表人或授权代理人签名：</w:t>
            </w:r>
          </w:p>
        </w:tc>
      </w:tr>
      <w:tr w14:paraId="6782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636" w:type="dxa"/>
            <w:tcBorders>
              <w:top w:val="nil"/>
              <w:left w:val="nil"/>
              <w:bottom w:val="nil"/>
              <w:right w:val="nil"/>
            </w:tcBorders>
            <w:shd w:val="clear" w:color="auto" w:fill="auto"/>
            <w:noWrap/>
            <w:vAlign w:val="bottom"/>
          </w:tcPr>
          <w:p w14:paraId="6D037503">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center"/>
          </w:tcPr>
          <w:p w14:paraId="05F7490D">
            <w:pPr>
              <w:keepNext w:val="0"/>
              <w:keepLines w:val="0"/>
              <w:widowControl/>
              <w:suppressLineNumbers w:val="0"/>
              <w:ind w:firstLineChars="200"/>
              <w:jc w:val="left"/>
              <w:textAlignment w:val="center"/>
              <w:rPr>
                <w:rStyle w:val="15"/>
                <w:lang w:val="en-US" w:eastAsia="zh-CN" w:bidi="ar"/>
              </w:rPr>
            </w:pPr>
          </w:p>
        </w:tc>
        <w:tc>
          <w:tcPr>
            <w:tcW w:w="1834" w:type="dxa"/>
            <w:tcBorders>
              <w:top w:val="nil"/>
              <w:left w:val="nil"/>
              <w:bottom w:val="nil"/>
              <w:right w:val="nil"/>
            </w:tcBorders>
            <w:shd w:val="clear" w:color="auto" w:fill="auto"/>
            <w:vAlign w:val="center"/>
          </w:tcPr>
          <w:p w14:paraId="644612F7">
            <w:pPr>
              <w:keepNext w:val="0"/>
              <w:keepLines w:val="0"/>
              <w:widowControl/>
              <w:suppressLineNumbers w:val="0"/>
              <w:ind w:firstLineChars="200"/>
              <w:jc w:val="left"/>
              <w:textAlignment w:val="center"/>
              <w:rPr>
                <w:rStyle w:val="15"/>
                <w:lang w:val="en-US" w:eastAsia="zh-CN" w:bidi="ar"/>
              </w:rPr>
            </w:pPr>
          </w:p>
        </w:tc>
        <w:tc>
          <w:tcPr>
            <w:tcW w:w="4061" w:type="dxa"/>
            <w:tcBorders>
              <w:top w:val="nil"/>
              <w:left w:val="nil"/>
              <w:bottom w:val="nil"/>
              <w:right w:val="nil"/>
            </w:tcBorders>
            <w:shd w:val="clear" w:color="auto" w:fill="auto"/>
            <w:vAlign w:val="center"/>
          </w:tcPr>
          <w:p w14:paraId="6D9CBF1C">
            <w:pPr>
              <w:keepNext w:val="0"/>
              <w:keepLines w:val="0"/>
              <w:widowControl/>
              <w:suppressLineNumbers w:val="0"/>
              <w:jc w:val="both"/>
              <w:textAlignment w:val="center"/>
              <w:rPr>
                <w:rFonts w:ascii="宋体" w:hAnsi="宋体" w:eastAsia="宋体" w:cs="宋体"/>
                <w:i w:val="0"/>
                <w:iCs w:val="0"/>
                <w:color w:val="000000"/>
                <w:sz w:val="24"/>
                <w:szCs w:val="24"/>
                <w:u w:val="none"/>
              </w:rPr>
            </w:pPr>
            <w:r>
              <w:rPr>
                <w:rStyle w:val="15"/>
                <w:sz w:val="24"/>
                <w:szCs w:val="24"/>
                <w:lang w:val="en-US" w:eastAsia="zh-CN" w:bidi="ar"/>
              </w:rPr>
              <w:t>联系人电话：</w:t>
            </w:r>
          </w:p>
        </w:tc>
      </w:tr>
      <w:tr w14:paraId="0FF1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636" w:type="dxa"/>
            <w:tcBorders>
              <w:top w:val="nil"/>
              <w:left w:val="nil"/>
              <w:bottom w:val="nil"/>
              <w:right w:val="nil"/>
            </w:tcBorders>
            <w:shd w:val="clear" w:color="auto" w:fill="auto"/>
            <w:noWrap/>
            <w:vAlign w:val="bottom"/>
          </w:tcPr>
          <w:p w14:paraId="576E3233">
            <w:pPr>
              <w:rPr>
                <w:rFonts w:hint="default" w:ascii="Arial" w:hAnsi="Arial" w:cs="Arial"/>
                <w:i w:val="0"/>
                <w:iCs w:val="0"/>
                <w:color w:val="000000"/>
                <w:sz w:val="22"/>
                <w:szCs w:val="22"/>
                <w:u w:val="none"/>
              </w:rPr>
            </w:pPr>
          </w:p>
        </w:tc>
        <w:tc>
          <w:tcPr>
            <w:tcW w:w="1727" w:type="dxa"/>
            <w:tcBorders>
              <w:top w:val="nil"/>
              <w:left w:val="nil"/>
              <w:bottom w:val="nil"/>
              <w:right w:val="nil"/>
            </w:tcBorders>
            <w:shd w:val="clear" w:color="auto" w:fill="auto"/>
            <w:vAlign w:val="top"/>
          </w:tcPr>
          <w:p w14:paraId="6D70C113">
            <w:pPr>
              <w:keepNext w:val="0"/>
              <w:keepLines w:val="0"/>
              <w:widowControl/>
              <w:suppressLineNumbers w:val="0"/>
              <w:ind w:firstLineChars="200"/>
              <w:jc w:val="left"/>
              <w:textAlignment w:val="top"/>
              <w:rPr>
                <w:rStyle w:val="15"/>
                <w:lang w:val="en-US" w:eastAsia="zh-CN" w:bidi="ar"/>
              </w:rPr>
            </w:pPr>
          </w:p>
        </w:tc>
        <w:tc>
          <w:tcPr>
            <w:tcW w:w="1834" w:type="dxa"/>
            <w:tcBorders>
              <w:top w:val="nil"/>
              <w:left w:val="nil"/>
              <w:bottom w:val="nil"/>
              <w:right w:val="nil"/>
            </w:tcBorders>
            <w:shd w:val="clear" w:color="auto" w:fill="auto"/>
            <w:vAlign w:val="top"/>
          </w:tcPr>
          <w:p w14:paraId="49452F94">
            <w:pPr>
              <w:keepNext w:val="0"/>
              <w:keepLines w:val="0"/>
              <w:widowControl/>
              <w:suppressLineNumbers w:val="0"/>
              <w:ind w:firstLineChars="200"/>
              <w:jc w:val="left"/>
              <w:textAlignment w:val="top"/>
              <w:rPr>
                <w:rStyle w:val="15"/>
                <w:lang w:val="en-US" w:eastAsia="zh-CN" w:bidi="ar"/>
              </w:rPr>
            </w:pPr>
          </w:p>
        </w:tc>
        <w:tc>
          <w:tcPr>
            <w:tcW w:w="4061" w:type="dxa"/>
            <w:tcBorders>
              <w:top w:val="nil"/>
              <w:left w:val="nil"/>
              <w:bottom w:val="nil"/>
              <w:right w:val="nil"/>
            </w:tcBorders>
            <w:shd w:val="clear" w:color="auto" w:fill="auto"/>
            <w:vAlign w:val="center"/>
          </w:tcPr>
          <w:p w14:paraId="4FB24A8E">
            <w:pPr>
              <w:keepNext w:val="0"/>
              <w:keepLines w:val="0"/>
              <w:widowControl/>
              <w:suppressLineNumbers w:val="0"/>
              <w:jc w:val="both"/>
              <w:textAlignment w:val="top"/>
              <w:rPr>
                <w:rFonts w:ascii="宋体" w:hAnsi="宋体" w:eastAsia="宋体" w:cs="宋体"/>
                <w:i w:val="0"/>
                <w:iCs w:val="0"/>
                <w:color w:val="000000"/>
                <w:sz w:val="24"/>
                <w:szCs w:val="24"/>
                <w:u w:val="none"/>
              </w:rPr>
            </w:pPr>
            <w:r>
              <w:rPr>
                <w:rStyle w:val="15"/>
                <w:sz w:val="24"/>
                <w:szCs w:val="24"/>
                <w:lang w:val="en-US" w:eastAsia="zh-CN" w:bidi="ar"/>
              </w:rPr>
              <w:t>日      期：</w:t>
            </w:r>
          </w:p>
        </w:tc>
      </w:tr>
    </w:tbl>
    <w:p w14:paraId="1755FDC3">
      <w:pPr>
        <w:numPr>
          <w:ilvl w:val="0"/>
          <w:numId w:val="0"/>
        </w:numPr>
        <w:jc w:val="both"/>
        <w:rPr>
          <w:rFonts w:hint="eastAsia"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FA126"/>
    <w:multiLevelType w:val="singleLevel"/>
    <w:tmpl w:val="D9AFA126"/>
    <w:lvl w:ilvl="0" w:tentative="0">
      <w:start w:val="1"/>
      <w:numFmt w:val="decimal"/>
      <w:suff w:val="nothing"/>
      <w:lvlText w:val="%1、"/>
      <w:lvlJc w:val="left"/>
    </w:lvl>
  </w:abstractNum>
  <w:abstractNum w:abstractNumId="1">
    <w:nsid w:val="332E7E52"/>
    <w:multiLevelType w:val="singleLevel"/>
    <w:tmpl w:val="332E7E52"/>
    <w:lvl w:ilvl="0" w:tentative="0">
      <w:start w:val="1"/>
      <w:numFmt w:val="decimal"/>
      <w:suff w:val="nothing"/>
      <w:lvlText w:val="%1、"/>
      <w:lvlJc w:val="left"/>
    </w:lvl>
  </w:abstractNum>
  <w:abstractNum w:abstractNumId="2">
    <w:nsid w:val="74616CE2"/>
    <w:multiLevelType w:val="singleLevel"/>
    <w:tmpl w:val="74616CE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190E"/>
    <w:rsid w:val="0DA44E20"/>
    <w:rsid w:val="1A403577"/>
    <w:rsid w:val="269D567F"/>
    <w:rsid w:val="3A464DB0"/>
    <w:rsid w:val="43B46820"/>
    <w:rsid w:val="44421D37"/>
    <w:rsid w:val="480175E9"/>
    <w:rsid w:val="495E78D4"/>
    <w:rsid w:val="6378730A"/>
    <w:rsid w:val="6F09495A"/>
    <w:rsid w:val="71FF0690"/>
    <w:rsid w:val="7800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customStyle="1" w:styleId="5">
    <w:name w:val="大标题"/>
    <w:basedOn w:val="1"/>
    <w:qFormat/>
    <w:uiPriority w:val="0"/>
    <w:pPr>
      <w:spacing w:before="187"/>
      <w:jc w:val="center"/>
    </w:pPr>
    <w:rPr>
      <w:rFonts w:hint="eastAsia" w:ascii="方正小标宋简体" w:hAnsi="方正小标宋简体" w:eastAsia="方正小标宋简体" w:cs="方正小标宋简体"/>
      <w:b/>
      <w:sz w:val="44"/>
      <w:szCs w:val="44"/>
      <w:lang w:val="zh-CN" w:bidi="zh-CN"/>
    </w:rPr>
  </w:style>
  <w:style w:type="paragraph" w:customStyle="1" w:styleId="6">
    <w:name w:val="Table Text"/>
    <w:basedOn w:val="1"/>
    <w:semiHidden/>
    <w:qFormat/>
    <w:uiPriority w:val="0"/>
    <w:rPr>
      <w:rFonts w:ascii="仿宋" w:hAnsi="仿宋" w:eastAsia="仿宋" w:cs="仿宋"/>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31"/>
    <w:basedOn w:val="4"/>
    <w:qFormat/>
    <w:uiPriority w:val="0"/>
    <w:rPr>
      <w:rFonts w:hint="eastAsia" w:ascii="等线" w:hAnsi="等线" w:eastAsia="等线" w:cs="等线"/>
      <w:b/>
      <w:bCs/>
      <w:color w:val="000000"/>
      <w:sz w:val="40"/>
      <w:szCs w:val="40"/>
      <w:u w:val="none"/>
    </w:rPr>
  </w:style>
  <w:style w:type="character" w:customStyle="1" w:styleId="9">
    <w:name w:val="font41"/>
    <w:basedOn w:val="4"/>
    <w:uiPriority w:val="0"/>
    <w:rPr>
      <w:rFonts w:hint="eastAsia" w:ascii="宋体" w:hAnsi="宋体" w:eastAsia="宋体" w:cs="宋体"/>
      <w:b/>
      <w:bCs/>
      <w:color w:val="000000"/>
      <w:sz w:val="32"/>
      <w:szCs w:val="32"/>
      <w:u w:val="none"/>
    </w:rPr>
  </w:style>
  <w:style w:type="character" w:customStyle="1" w:styleId="10">
    <w:name w:val="font51"/>
    <w:basedOn w:val="4"/>
    <w:qFormat/>
    <w:uiPriority w:val="0"/>
    <w:rPr>
      <w:rFonts w:hint="eastAsia" w:ascii="仿宋" w:hAnsi="仿宋" w:eastAsia="仿宋" w:cs="仿宋"/>
      <w:b/>
      <w:bCs/>
      <w:color w:val="000000"/>
      <w:sz w:val="30"/>
      <w:szCs w:val="30"/>
      <w:u w:val="none"/>
    </w:rPr>
  </w:style>
  <w:style w:type="character" w:customStyle="1" w:styleId="11">
    <w:name w:val="font61"/>
    <w:basedOn w:val="4"/>
    <w:qFormat/>
    <w:uiPriority w:val="0"/>
    <w:rPr>
      <w:rFonts w:hint="eastAsia" w:ascii="微软雅黑" w:hAnsi="微软雅黑" w:eastAsia="微软雅黑" w:cs="微软雅黑"/>
      <w:color w:val="000000"/>
      <w:sz w:val="22"/>
      <w:szCs w:val="22"/>
      <w:u w:val="none"/>
    </w:rPr>
  </w:style>
  <w:style w:type="character" w:customStyle="1" w:styleId="12">
    <w:name w:val="font71"/>
    <w:basedOn w:val="4"/>
    <w:qFormat/>
    <w:uiPriority w:val="0"/>
    <w:rPr>
      <w:rFonts w:hint="eastAsia" w:ascii="仿宋" w:hAnsi="仿宋" w:eastAsia="仿宋" w:cs="仿宋"/>
      <w:color w:val="000000"/>
      <w:sz w:val="28"/>
      <w:szCs w:val="28"/>
      <w:u w:val="none"/>
    </w:rPr>
  </w:style>
  <w:style w:type="character" w:customStyle="1" w:styleId="13">
    <w:name w:val="font81"/>
    <w:basedOn w:val="4"/>
    <w:qFormat/>
    <w:uiPriority w:val="0"/>
    <w:rPr>
      <w:rFonts w:hint="default" w:ascii="Arial" w:hAnsi="Arial" w:cs="Arial"/>
      <w:color w:val="000000"/>
      <w:sz w:val="19"/>
      <w:szCs w:val="19"/>
      <w:u w:val="none"/>
    </w:rPr>
  </w:style>
  <w:style w:type="character" w:customStyle="1" w:styleId="14">
    <w:name w:val="font91"/>
    <w:basedOn w:val="4"/>
    <w:qFormat/>
    <w:uiPriority w:val="0"/>
    <w:rPr>
      <w:rFonts w:ascii="宋体" w:hAnsi="宋体" w:eastAsia="宋体" w:cs="宋体"/>
      <w:color w:val="000000"/>
      <w:sz w:val="28"/>
      <w:szCs w:val="28"/>
      <w:u w:val="none"/>
    </w:rPr>
  </w:style>
  <w:style w:type="character" w:customStyle="1" w:styleId="15">
    <w:name w:val="font101"/>
    <w:basedOn w:val="4"/>
    <w:qFormat/>
    <w:uiPriority w:val="0"/>
    <w:rPr>
      <w:rFonts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1239</Words>
  <Characters>1257</Characters>
  <Lines>0</Lines>
  <Paragraphs>0</Paragraphs>
  <TotalTime>22</TotalTime>
  <ScaleCrop>false</ScaleCrop>
  <LinksUpToDate>false</LinksUpToDate>
  <CharactersWithSpaces>1263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2024-01-05T09:45:00Z</dcterms:created>
  <dc:creator>123</dc:creator>
  <cp:lastModifiedBy></cp:lastModifiedBy>
  <dcterms:modified xsi:type="dcterms:W3CDTF">2025-08-08T09:06:11Z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FA36F680D6914B438E2EBE68F27B25B4_13</vt:lpwstr>
  </property>
  <property fmtid="{D5CDD505-2E9C-101B-9397-08002B2CF9AE}" pid="4" name="KSOTemplateDocerSaveRecord">
    <vt:lpwstr>eyJoZGlkIjoiYzM2ZDI0YzYzNjkyZGE1YjQ4YmUyYTk4NGRiOWQxY2MiLCJ1c2VySWQiOiIzNDg4NDg0MjYifQ==</vt:lpwstr>
  </property>
</Properties>
</file>