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657"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bookmarkStart w:id="0" w:name="_Toc275865604"/>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w:t>
            </w:r>
            <w:r>
              <w:rPr>
                <w:rFonts w:hint="eastAsia" w:ascii="仿宋_GB2312" w:hAnsi="等线" w:eastAsia="仿宋_GB2312"/>
                <w:b/>
                <w:color w:val="auto"/>
                <w:sz w:val="28"/>
                <w:szCs w:val="28"/>
                <w:lang w:eastAsia="zh-CN"/>
              </w:rPr>
              <w:t>中山市口腔医院行政事业资产数据托管服务项目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default"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1F3A059F">
            <w:pPr>
              <w:spacing w:after="120" w:line="400" w:lineRule="exact"/>
              <w:ind w:firstLine="1185" w:firstLineChars="369"/>
              <w:rPr>
                <w:rFonts w:ascii="仿宋_GB2312" w:hAnsi="等线" w:eastAsia="仿宋_GB2312"/>
                <w:b/>
                <w:color w:val="auto"/>
                <w:sz w:val="32"/>
              </w:rPr>
            </w:pPr>
          </w:p>
        </w:tc>
      </w:tr>
    </w:tbl>
    <w:p w14:paraId="4E094787">
      <w:pPr>
        <w:autoSpaceDE w:val="0"/>
        <w:autoSpaceDN w:val="0"/>
        <w:adjustRightInd w:val="0"/>
        <w:snapToGrid w:val="0"/>
        <w:spacing w:line="360" w:lineRule="auto"/>
        <w:ind w:left="480"/>
        <w:jc w:val="left"/>
        <w:rPr>
          <w:rFonts w:ascii="宋体" w:hAnsi="宋体"/>
          <w:color w:val="auto"/>
          <w:kern w:val="0"/>
          <w:sz w:val="24"/>
          <w:szCs w:val="24"/>
        </w:rPr>
      </w:pPr>
      <w:bookmarkStart w:id="1" w:name="_Toc410736177"/>
      <w:bookmarkStart w:id="2" w:name="_Toc416771363"/>
      <w:bookmarkStart w:id="3" w:name="_Toc416770253"/>
      <w:bookmarkStart w:id="4" w:name="_Toc410738976"/>
      <w:r>
        <w:rPr>
          <w:b/>
          <w:color w:val="auto"/>
          <w:kern w:val="0"/>
          <w:szCs w:val="21"/>
        </w:rPr>
        <w:br w:type="page"/>
      </w:r>
      <w:bookmarkEnd w:id="0"/>
      <w:bookmarkEnd w:id="1"/>
      <w:bookmarkEnd w:id="2"/>
      <w:bookmarkEnd w:id="3"/>
      <w:bookmarkEnd w:id="4"/>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单位</w:t>
      </w:r>
      <w:r>
        <w:rPr>
          <w:rFonts w:hint="eastAsia" w:ascii="宋体" w:hAnsi="宋体"/>
          <w:color w:val="auto"/>
          <w:kern w:val="0"/>
          <w:sz w:val="24"/>
          <w:szCs w:val="24"/>
          <w:u w:val="single"/>
        </w:rPr>
        <w:t xml:space="preserve"> </w:t>
      </w:r>
      <w:r>
        <w:rPr>
          <w:rFonts w:hint="eastAsia" w:ascii="宋体" w:hAnsi="宋体"/>
          <w:color w:val="auto"/>
          <w:kern w:val="0"/>
          <w:sz w:val="24"/>
          <w:szCs w:val="24"/>
          <w:u w:val="single"/>
          <w:lang w:eastAsia="zh-CN"/>
        </w:rPr>
        <w:t>中山市口腔医院行政事业资产数据托管服务项目</w:t>
      </w:r>
      <w:r>
        <w:rPr>
          <w:rFonts w:hint="eastAsia" w:ascii="宋体" w:hAnsi="宋体"/>
          <w:color w:val="auto"/>
          <w:kern w:val="0"/>
          <w:sz w:val="24"/>
          <w:szCs w:val="24"/>
          <w:u w:val="single"/>
          <w:lang w:val="en-US" w:eastAsia="zh-CN"/>
        </w:rPr>
        <w:t xml:space="preserve"> </w:t>
      </w:r>
      <w:r>
        <w:rPr>
          <w:rFonts w:hint="eastAsia" w:ascii="宋体" w:hAnsi="宋体" w:eastAsia="宋体"/>
          <w:color w:val="auto"/>
          <w:kern w:val="0"/>
          <w:sz w:val="24"/>
          <w:szCs w:val="24"/>
          <w:u w:val="single"/>
        </w:rPr>
        <w:t xml:space="preserve"> </w:t>
      </w:r>
      <w:r>
        <w:rPr>
          <w:rFonts w:hint="eastAsia" w:ascii="宋体" w:hAnsi="宋体"/>
          <w:color w:val="auto"/>
          <w:kern w:val="28"/>
          <w:sz w:val="24"/>
          <w:szCs w:val="24"/>
          <w:u w:val="single"/>
          <w:lang w:eastAsia="zh-CN"/>
        </w:rPr>
        <w:t>的</w:t>
      </w:r>
      <w:r>
        <w:rPr>
          <w:rFonts w:hint="eastAsia" w:ascii="宋体" w:hAnsi="宋体"/>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40D692D9">
      <w:pPr>
        <w:keepNext w:val="0"/>
        <w:keepLines w:val="0"/>
        <w:pageBreakBefore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b/>
          <w:color w:val="auto"/>
          <w:kern w:val="0"/>
          <w:sz w:val="24"/>
          <w:szCs w:val="24"/>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auto"/>
          <w:kern w:val="0"/>
          <w:sz w:val="24"/>
          <w:szCs w:val="24"/>
        </w:rPr>
      </w:pPr>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5" w:name="_Toc410736180"/>
      <w:bookmarkStart w:id="6" w:name="_Toc410738979"/>
    </w:p>
    <w:bookmarkEnd w:id="5"/>
    <w:bookmarkEnd w:id="6"/>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0"/>
        <w:tblW w:w="82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016"/>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eastAsia="宋体"/>
                <w:lang w:eastAsia="zh-CN"/>
              </w:rPr>
            </w:pPr>
            <w:r>
              <w:rPr>
                <w:rFonts w:hint="eastAsia"/>
                <w:lang w:eastAsia="zh-CN"/>
              </w:rPr>
              <w:t>序号</w:t>
            </w:r>
          </w:p>
        </w:tc>
        <w:tc>
          <w:tcPr>
            <w:tcW w:w="3117" w:type="dxa"/>
            <w:vAlign w:val="center"/>
          </w:tcPr>
          <w:p w14:paraId="76C5D22B">
            <w:pPr>
              <w:jc w:val="center"/>
            </w:pPr>
            <w:r>
              <w:rPr>
                <w:rFonts w:hint="eastAsia"/>
                <w:lang w:eastAsia="zh-CN"/>
              </w:rPr>
              <w:t>项目名称</w:t>
            </w:r>
          </w:p>
        </w:tc>
        <w:tc>
          <w:tcPr>
            <w:tcW w:w="2016" w:type="dxa"/>
            <w:vAlign w:val="center"/>
          </w:tcPr>
          <w:p w14:paraId="4F3DE15B">
            <w:pPr>
              <w:jc w:val="center"/>
              <w:rPr>
                <w:rFonts w:hint="eastAsia" w:eastAsia="宋体"/>
                <w:lang w:eastAsia="zh-CN"/>
              </w:rPr>
            </w:pPr>
            <w:r>
              <w:rPr>
                <w:rFonts w:hint="eastAsia"/>
                <w:lang w:eastAsia="zh-CN"/>
              </w:rPr>
              <w:t>报价（元）</w:t>
            </w:r>
          </w:p>
        </w:tc>
        <w:tc>
          <w:tcPr>
            <w:tcW w:w="1968"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default"/>
                <w:lang w:val="en-US" w:eastAsia="zh-CN"/>
              </w:rPr>
            </w:pPr>
            <w:r>
              <w:rPr>
                <w:rFonts w:hint="eastAsia"/>
                <w:lang w:val="en-US" w:eastAsia="zh-CN"/>
              </w:rPr>
              <w:t>1</w:t>
            </w:r>
          </w:p>
        </w:tc>
        <w:tc>
          <w:tcPr>
            <w:tcW w:w="3117" w:type="dxa"/>
            <w:vAlign w:val="center"/>
          </w:tcPr>
          <w:p w14:paraId="6335D472">
            <w:pPr>
              <w:jc w:val="center"/>
              <w:rPr>
                <w:rFonts w:hint="eastAsia"/>
                <w:lang w:eastAsia="zh-CN"/>
              </w:rPr>
            </w:pPr>
          </w:p>
        </w:tc>
        <w:tc>
          <w:tcPr>
            <w:tcW w:w="2016" w:type="dxa"/>
            <w:vAlign w:val="center"/>
          </w:tcPr>
          <w:p w14:paraId="39055141">
            <w:pPr>
              <w:jc w:val="center"/>
              <w:rPr>
                <w:rFonts w:hint="eastAsia"/>
              </w:rPr>
            </w:pPr>
          </w:p>
        </w:tc>
        <w:tc>
          <w:tcPr>
            <w:tcW w:w="1968" w:type="dxa"/>
            <w:vAlign w:val="center"/>
          </w:tcPr>
          <w:p w14:paraId="15E90A6C">
            <w:pPr>
              <w:jc w:val="center"/>
              <w:rPr>
                <w:rFonts w:hint="eastAsia"/>
              </w:rPr>
            </w:pP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spacing w:line="360" w:lineRule="auto"/>
        <w:ind w:firstLine="422" w:firstLineChars="200"/>
        <w:rPr>
          <w:rFonts w:hint="default" w:ascii="宋体" w:hAnsi="宋体" w:eastAsia="宋体"/>
          <w:color w:val="000000"/>
          <w:szCs w:val="21"/>
          <w:lang w:val="en-US" w:eastAsia="zh-CN"/>
        </w:rPr>
      </w:pPr>
      <w:r>
        <w:rPr>
          <w:rFonts w:hint="eastAsia" w:ascii="宋体" w:hAnsi="宋体"/>
          <w:b/>
          <w:bCs/>
          <w:color w:val="000000"/>
          <w:szCs w:val="21"/>
        </w:rPr>
        <w:t>1.</w:t>
      </w:r>
      <w:r>
        <w:rPr>
          <w:rFonts w:hint="eastAsia" w:ascii="宋体" w:hAnsi="宋体"/>
          <w:b/>
          <w:bCs/>
          <w:color w:val="000000"/>
          <w:szCs w:val="21"/>
          <w:lang w:eastAsia="zh-CN"/>
        </w:rPr>
        <w:t>本项目</w:t>
      </w:r>
      <w:r>
        <w:rPr>
          <w:rFonts w:hint="eastAsia" w:ascii="宋体" w:hAnsi="宋体"/>
          <w:b/>
          <w:bCs/>
          <w:color w:val="000000"/>
          <w:szCs w:val="21"/>
          <w:lang w:val="en-US" w:eastAsia="zh-CN"/>
        </w:rPr>
        <w:t>合计</w:t>
      </w:r>
      <w:r>
        <w:rPr>
          <w:rFonts w:hint="eastAsia" w:ascii="宋体" w:hAnsi="宋体"/>
          <w:b/>
          <w:bCs/>
          <w:color w:val="000000"/>
          <w:szCs w:val="21"/>
          <w:lang w:eastAsia="zh-CN"/>
        </w:rPr>
        <w:t>的最高限价为</w:t>
      </w:r>
      <w:r>
        <w:rPr>
          <w:rFonts w:hint="eastAsia" w:ascii="宋体" w:hAnsi="宋体"/>
          <w:b/>
          <w:bCs/>
          <w:color w:val="000000"/>
          <w:szCs w:val="21"/>
          <w:lang w:val="en-US" w:eastAsia="zh-CN"/>
        </w:rPr>
        <w:t>17000.00</w:t>
      </w:r>
      <w:r>
        <w:rPr>
          <w:rFonts w:hint="eastAsia" w:ascii="宋体" w:hAnsi="宋体"/>
          <w:b/>
          <w:bCs/>
          <w:color w:val="000000"/>
          <w:szCs w:val="21"/>
          <w:lang w:val="en-US" w:eastAsia="zh-CN"/>
        </w:rPr>
        <w:t>元，供应商报价合计不可高于最高限价，否则为无效报价。</w:t>
      </w:r>
    </w:p>
    <w:p w14:paraId="5A89456E">
      <w:pPr>
        <w:spacing w:line="360" w:lineRule="auto"/>
        <w:ind w:firstLine="42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2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2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2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3"/>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4"/>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ZjZmMDM1YzQ0Mjg0ZjQzOTE4OTU0ODFlY2ZjMjkifQ=="/>
  </w:docVars>
  <w:rsids>
    <w:rsidRoot w:val="3FD26FE4"/>
    <w:rsid w:val="00215D69"/>
    <w:rsid w:val="0783542E"/>
    <w:rsid w:val="0B6536BC"/>
    <w:rsid w:val="1AAC5768"/>
    <w:rsid w:val="1E2307E2"/>
    <w:rsid w:val="1E7722F9"/>
    <w:rsid w:val="279A1B15"/>
    <w:rsid w:val="36F36266"/>
    <w:rsid w:val="37D9733C"/>
    <w:rsid w:val="3FD26FE4"/>
    <w:rsid w:val="4D787A0B"/>
    <w:rsid w:val="4F8D7835"/>
    <w:rsid w:val="509A2433"/>
    <w:rsid w:val="53803A05"/>
    <w:rsid w:val="5A865DA5"/>
    <w:rsid w:val="61D45648"/>
    <w:rsid w:val="626D0551"/>
    <w:rsid w:val="65416ECC"/>
    <w:rsid w:val="679E3D55"/>
    <w:rsid w:val="6A4D3618"/>
    <w:rsid w:val="72D81D0D"/>
    <w:rsid w:val="74D34E20"/>
    <w:rsid w:val="794B09A5"/>
    <w:rsid w:val="7DFA0912"/>
    <w:rsid w:val="7E42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360" w:lineRule="auto"/>
      <w:jc w:val="left"/>
      <w:outlineLvl w:val="1"/>
    </w:pPr>
    <w:rPr>
      <w:rFonts w:ascii="黑体" w:hAnsi="黑体" w:eastAsia="黑体"/>
      <w:b/>
      <w:bCs/>
      <w:kern w:val="0"/>
      <w:sz w:val="24"/>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4">
    <w:name w:val="Body Text"/>
    <w:basedOn w:val="1"/>
    <w:next w:val="1"/>
    <w:autoRedefine/>
    <w:qFormat/>
    <w:uiPriority w:val="0"/>
    <w:pPr>
      <w:spacing w:line="360" w:lineRule="auto"/>
    </w:pPr>
    <w:rPr>
      <w:rFonts w:ascii="宋体" w:hAnsi="宋体"/>
      <w:kern w:val="0"/>
      <w:sz w:val="28"/>
    </w:rPr>
  </w:style>
  <w:style w:type="paragraph" w:styleId="5">
    <w:name w:val="Body Text Indent"/>
    <w:basedOn w:val="1"/>
    <w:autoRedefine/>
    <w:qFormat/>
    <w:uiPriority w:val="0"/>
    <w:pPr>
      <w:adjustRightInd w:val="0"/>
      <w:snapToGrid w:val="0"/>
      <w:spacing w:line="360" w:lineRule="auto"/>
      <w:ind w:firstLine="420" w:firstLineChars="200"/>
    </w:pPr>
    <w:rPr>
      <w:kern w:val="0"/>
      <w:sz w:val="20"/>
    </w:rPr>
  </w:style>
  <w:style w:type="paragraph" w:styleId="6">
    <w:name w:val="Plain Text"/>
    <w:basedOn w:val="1"/>
    <w:autoRedefine/>
    <w:qFormat/>
    <w:uiPriority w:val="0"/>
    <w:rPr>
      <w:rFonts w:ascii="宋体" w:hAnsi="Courier New"/>
      <w:kern w:val="0"/>
      <w:sz w:val="20"/>
      <w:szCs w:val="21"/>
    </w:rPr>
  </w:style>
  <w:style w:type="paragraph" w:styleId="7">
    <w:name w:val="Title"/>
    <w:basedOn w:val="1"/>
    <w:autoRedefine/>
    <w:qFormat/>
    <w:uiPriority w:val="0"/>
    <w:pPr>
      <w:spacing w:before="240" w:after="60"/>
      <w:jc w:val="center"/>
      <w:outlineLvl w:val="0"/>
    </w:pPr>
    <w:rPr>
      <w:rFonts w:ascii="Arial" w:hAnsi="Arial"/>
      <w:b/>
      <w:bCs/>
      <w:kern w:val="0"/>
      <w:sz w:val="32"/>
      <w:szCs w:val="32"/>
    </w:rPr>
  </w:style>
  <w:style w:type="paragraph" w:styleId="8">
    <w:name w:val="Body Text First Indent 2"/>
    <w:basedOn w:val="5"/>
    <w:autoRedefine/>
    <w:qFormat/>
    <w:uiPriority w:val="0"/>
    <w:pPr>
      <w:ind w:firstLine="420" w:firstLineChars="200"/>
    </w:p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autoRedefine/>
    <w:qFormat/>
    <w:uiPriority w:val="0"/>
    <w:rPr>
      <w:rFonts w:ascii="Tahoma" w:hAnsi="Tahoma" w:eastAsia="宋体" w:cs="Times New Roman"/>
      <w:b/>
      <w:bCs/>
      <w:spacing w:val="10"/>
      <w:sz w:val="24"/>
      <w:lang w:val="en-US" w:eastAsia="zh-CN" w:bidi="ar-SA"/>
    </w:rPr>
  </w:style>
  <w:style w:type="paragraph" w:customStyle="1" w:styleId="13">
    <w:name w:val="表格文字"/>
    <w:basedOn w:val="1"/>
    <w:next w:val="4"/>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812</Words>
  <Characters>870</Characters>
  <Lines>0</Lines>
  <Paragraphs>0</Paragraphs>
  <TotalTime>5</TotalTime>
  <ScaleCrop>false</ScaleCrop>
  <LinksUpToDate>false</LinksUpToDate>
  <CharactersWithSpaces>941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2024-02-04T02:37:00Z</dcterms:created>
  <dc:creator>_monster*^o^*</dc:creator>
  <cp:lastModifiedBy>_xcy</cp:lastModifiedBy>
  <dcterms:modified xsi:type="dcterms:W3CDTF">2025-01-22T04:21:48Z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9FCA6EEA168E4624B0F5433A85F837DD_11</vt:lpwstr>
  </property>
  <property fmtid="{D5CDD505-2E9C-101B-9397-08002B2CF9AE}" pid="4" name="KSOTemplateDocerSaveRecord">
    <vt:lpwstr>eyJoZGlkIjoiMDI3ZjZmMDM1YzQ0Mjg0ZjQzOTE4OTU0ODFlY2ZjMjkiLCJ1c2VySWQiOiIxNDE5NDM0MTU1In0=</vt:lpwstr>
  </property>
</Properties>
</file>