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i w:val="0"/>
          <w:iCs w:val="0"/>
          <w:caps w:val="0"/>
          <w:color w:val="000000"/>
          <w:spacing w:val="0"/>
          <w:sz w:val="30"/>
          <w:szCs w:val="30"/>
          <w:shd w:val="clear" w:fill="FFFFFF"/>
          <w:lang w:val="en-US" w:eastAsia="zh-CN"/>
        </w:rPr>
      </w:pPr>
      <w:r>
        <w:rPr>
          <w:rFonts w:hint="eastAsia" w:ascii="宋体" w:hAnsi="宋体" w:eastAsia="宋体" w:cs="宋体"/>
          <w:b/>
          <w:bCs/>
          <w:i w:val="0"/>
          <w:iCs w:val="0"/>
          <w:caps w:val="0"/>
          <w:color w:val="000000"/>
          <w:spacing w:val="0"/>
          <w:sz w:val="30"/>
          <w:szCs w:val="30"/>
          <w:shd w:val="clear" w:fill="FFFFFF"/>
          <w:lang w:eastAsia="zh-CN"/>
        </w:rPr>
        <w:t>附件</w:t>
      </w:r>
      <w:r>
        <w:rPr>
          <w:rFonts w:hint="eastAsia" w:ascii="宋体" w:hAnsi="宋体" w:eastAsia="宋体" w:cs="宋体"/>
          <w:b/>
          <w:bCs/>
          <w:i w:val="0"/>
          <w:iCs w:val="0"/>
          <w:caps w:val="0"/>
          <w:color w:val="000000"/>
          <w:spacing w:val="0"/>
          <w:sz w:val="30"/>
          <w:szCs w:val="30"/>
          <w:shd w:val="clear" w:fill="FFFFFF"/>
          <w:lang w:val="en-US" w:eastAsia="zh-CN"/>
        </w:rPr>
        <w:t>1</w:t>
      </w:r>
    </w:p>
    <w:p>
      <w:pPr>
        <w:jc w:val="center"/>
        <w:rPr>
          <w:rFonts w:hint="eastAsia" w:ascii="宋体" w:hAnsi="宋体" w:eastAsia="宋体" w:cs="宋体"/>
          <w:b/>
          <w:bCs/>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30"/>
          <w:szCs w:val="30"/>
          <w:shd w:val="clear" w:fill="FFFFFF"/>
        </w:rPr>
        <w:t>中山市口腔医院信息化建设服务项目</w:t>
      </w:r>
    </w:p>
    <w:p>
      <w:pPr>
        <w:jc w:val="center"/>
        <w:rPr>
          <w:rFonts w:hint="eastAsia" w:ascii="宋体" w:hAnsi="宋体" w:eastAsia="宋体" w:cs="宋体"/>
          <w:b/>
          <w:bCs/>
          <w:i w:val="0"/>
          <w:iCs w:val="0"/>
          <w:caps w:val="0"/>
          <w:color w:val="000000"/>
          <w:spacing w:val="0"/>
          <w:sz w:val="30"/>
          <w:szCs w:val="30"/>
          <w:shd w:val="clear" w:fill="FFFFFF"/>
          <w:lang w:eastAsia="zh-CN"/>
        </w:rPr>
      </w:pPr>
      <w:r>
        <w:rPr>
          <w:rFonts w:hint="eastAsia" w:ascii="宋体" w:hAnsi="宋体" w:eastAsia="宋体" w:cs="宋体"/>
          <w:b/>
          <w:bCs/>
          <w:i w:val="0"/>
          <w:iCs w:val="0"/>
          <w:caps w:val="0"/>
          <w:color w:val="000000"/>
          <w:spacing w:val="0"/>
          <w:sz w:val="30"/>
          <w:szCs w:val="30"/>
          <w:shd w:val="clear" w:fill="FFFFFF"/>
          <w:lang w:eastAsia="zh-CN"/>
        </w:rPr>
        <w:t>市场调研需求内容</w:t>
      </w:r>
    </w:p>
    <w:p>
      <w:pPr>
        <w:rPr>
          <w:rFonts w:hint="eastAsia" w:ascii="宋体" w:hAnsi="宋体" w:eastAsia="宋体" w:cs="宋体"/>
          <w:sz w:val="28"/>
          <w:szCs w:val="28"/>
          <w:lang w:eastAsia="zh-CN"/>
        </w:rPr>
      </w:pPr>
      <w:r>
        <w:rPr>
          <w:rFonts w:hint="eastAsia" w:ascii="宋体" w:hAnsi="宋体" w:eastAsia="宋体" w:cs="宋体"/>
          <w:b/>
          <w:sz w:val="28"/>
          <w:szCs w:val="28"/>
          <w:lang w:val="en-US" w:eastAsia="zh-CN"/>
        </w:rPr>
        <w:t>1.</w:t>
      </w:r>
      <w:r>
        <w:rPr>
          <w:rFonts w:hint="eastAsia" w:ascii="宋体" w:hAnsi="宋体" w:eastAsia="宋体" w:cs="宋体"/>
          <w:b/>
          <w:sz w:val="28"/>
          <w:szCs w:val="28"/>
        </w:rPr>
        <w:t>建设</w:t>
      </w:r>
      <w:r>
        <w:rPr>
          <w:rFonts w:hint="eastAsia" w:ascii="宋体" w:hAnsi="宋体" w:eastAsia="宋体" w:cs="宋体"/>
          <w:b/>
          <w:sz w:val="28"/>
          <w:szCs w:val="28"/>
          <w:lang w:eastAsia="zh-CN"/>
        </w:rPr>
        <w:t>背景</w:t>
      </w:r>
    </w:p>
    <w:p>
      <w:pPr>
        <w:ind w:firstLine="420"/>
        <w:rPr>
          <w:rFonts w:hint="eastAsia" w:ascii="宋体" w:hAnsi="宋体" w:eastAsia="宋体" w:cs="宋体"/>
          <w:sz w:val="28"/>
          <w:szCs w:val="28"/>
          <w:highlight w:val="none"/>
        </w:rPr>
      </w:pPr>
      <w:r>
        <w:rPr>
          <w:rFonts w:hint="eastAsia" w:ascii="宋体" w:hAnsi="宋体" w:eastAsia="宋体" w:cs="宋体"/>
          <w:sz w:val="28"/>
          <w:szCs w:val="28"/>
        </w:rPr>
        <w:t>需要在医院</w:t>
      </w:r>
      <w:r>
        <w:rPr>
          <w:rFonts w:hint="eastAsia" w:ascii="宋体" w:hAnsi="宋体" w:eastAsia="宋体" w:cs="宋体"/>
          <w:sz w:val="28"/>
          <w:szCs w:val="28"/>
          <w:highlight w:val="none"/>
        </w:rPr>
        <w:t>现有信息系统的情况下建立以“电子病历”为核心的医院信息平台，解决业务系统之间数据接口交互标准化问题，实现</w:t>
      </w:r>
      <w:r>
        <w:rPr>
          <w:rFonts w:hint="eastAsia" w:ascii="宋体" w:hAnsi="宋体" w:eastAsia="宋体" w:cs="宋体"/>
          <w:sz w:val="28"/>
          <w:szCs w:val="28"/>
          <w:highlight w:val="none"/>
          <w:lang w:val="en-US" w:eastAsia="zh-CN"/>
        </w:rPr>
        <w:t>对</w:t>
      </w:r>
      <w:r>
        <w:rPr>
          <w:rFonts w:hint="eastAsia" w:ascii="宋体" w:hAnsi="宋体" w:eastAsia="宋体" w:cs="宋体"/>
          <w:sz w:val="28"/>
          <w:szCs w:val="28"/>
          <w:highlight w:val="none"/>
        </w:rPr>
        <w:t>院内</w:t>
      </w:r>
      <w:r>
        <w:rPr>
          <w:rFonts w:hint="eastAsia" w:ascii="宋体" w:hAnsi="宋体" w:eastAsia="宋体" w:cs="宋体"/>
          <w:sz w:val="28"/>
          <w:szCs w:val="28"/>
          <w:highlight w:val="none"/>
          <w:lang w:val="en-US" w:eastAsia="zh-CN"/>
        </w:rPr>
        <w:t>各项</w:t>
      </w:r>
      <w:r>
        <w:rPr>
          <w:rFonts w:hint="eastAsia" w:ascii="宋体" w:hAnsi="宋体" w:eastAsia="宋体" w:cs="宋体"/>
          <w:sz w:val="28"/>
          <w:szCs w:val="28"/>
          <w:highlight w:val="none"/>
        </w:rPr>
        <w:t>业务</w:t>
      </w:r>
      <w:r>
        <w:rPr>
          <w:rFonts w:hint="eastAsia" w:ascii="宋体" w:hAnsi="宋体" w:eastAsia="宋体" w:cs="宋体"/>
          <w:sz w:val="28"/>
          <w:szCs w:val="28"/>
          <w:highlight w:val="none"/>
          <w:lang w:val="en-US" w:eastAsia="zh-CN"/>
        </w:rPr>
        <w:t>的支撑</w:t>
      </w:r>
      <w:r>
        <w:rPr>
          <w:rFonts w:hint="eastAsia" w:ascii="宋体" w:hAnsi="宋体" w:eastAsia="宋体" w:cs="宋体"/>
          <w:sz w:val="28"/>
          <w:szCs w:val="28"/>
          <w:highlight w:val="none"/>
        </w:rPr>
        <w:t>，减轻临床人员的工作负担，为医院的运营、管理、绩效、临床等各方面提供重大帮助，进一步提高整个医院的工作效率及医疗质量。对标新形势下国家、省关于公立医院高质量发展的要求，仍需围绕医疗、服务、管理等方面，进一步强化“三位一体”的智慧医院建设。</w:t>
      </w:r>
    </w:p>
    <w:p>
      <w:pPr>
        <w:numPr>
          <w:ilvl w:val="0"/>
          <w:numId w:val="0"/>
        </w:numPr>
        <w:rPr>
          <w:rFonts w:hint="eastAsia" w:ascii="宋体" w:hAnsi="宋体" w:eastAsia="宋体" w:cs="宋体"/>
          <w:b/>
          <w:sz w:val="28"/>
          <w:szCs w:val="28"/>
          <w:highlight w:val="none"/>
        </w:rPr>
      </w:pPr>
      <w:r>
        <w:rPr>
          <w:rFonts w:hint="eastAsia" w:ascii="宋体" w:hAnsi="宋体" w:eastAsia="宋体" w:cs="宋体"/>
          <w:b/>
          <w:kern w:val="2"/>
          <w:sz w:val="28"/>
          <w:szCs w:val="28"/>
          <w:highlight w:val="none"/>
          <w:lang w:val="en-US" w:eastAsia="zh-CN" w:bidi="ar-SA"/>
        </w:rPr>
        <w:t>2.</w:t>
      </w:r>
      <w:r>
        <w:rPr>
          <w:rFonts w:hint="eastAsia" w:ascii="宋体" w:hAnsi="宋体" w:eastAsia="宋体" w:cs="宋体"/>
          <w:b/>
          <w:sz w:val="28"/>
          <w:szCs w:val="28"/>
          <w:highlight w:val="none"/>
        </w:rPr>
        <w:t>建设目标</w:t>
      </w:r>
    </w:p>
    <w:p>
      <w:pPr>
        <w:ind w:firstLine="420"/>
        <w:rPr>
          <w:rFonts w:hint="eastAsia" w:ascii="宋体" w:hAnsi="宋体" w:eastAsia="宋体" w:cs="宋体"/>
          <w:sz w:val="28"/>
          <w:szCs w:val="28"/>
          <w:highlight w:val="none"/>
        </w:rPr>
      </w:pPr>
      <w:r>
        <w:rPr>
          <w:rFonts w:hint="eastAsia" w:ascii="宋体" w:hAnsi="宋体" w:eastAsia="宋体" w:cs="宋体"/>
          <w:sz w:val="28"/>
          <w:szCs w:val="28"/>
          <w:highlight w:val="none"/>
        </w:rPr>
        <w:t>依据</w:t>
      </w:r>
      <w:r>
        <w:rPr>
          <w:rFonts w:hint="eastAsia" w:ascii="宋体" w:hAnsi="宋体" w:eastAsia="宋体" w:cs="宋体"/>
          <w:sz w:val="28"/>
          <w:szCs w:val="28"/>
          <w:highlight w:val="none"/>
          <w:lang w:val="en-US" w:eastAsia="zh-CN"/>
        </w:rPr>
        <w:t>国家、省、市的相关政策，</w:t>
      </w:r>
      <w:r>
        <w:rPr>
          <w:rFonts w:hint="eastAsia" w:ascii="宋体" w:hAnsi="宋体" w:eastAsia="宋体" w:cs="宋体"/>
          <w:sz w:val="28"/>
          <w:szCs w:val="28"/>
          <w:highlight w:val="none"/>
        </w:rPr>
        <w:t>以夯实核心业务系统建设、协同</w:t>
      </w:r>
      <w:r>
        <w:rPr>
          <w:rFonts w:hint="eastAsia" w:ascii="宋体" w:hAnsi="宋体" w:eastAsia="宋体" w:cs="宋体"/>
          <w:sz w:val="28"/>
          <w:szCs w:val="28"/>
          <w:highlight w:val="none"/>
          <w:lang w:val="en-US" w:eastAsia="zh-CN"/>
        </w:rPr>
        <w:t>建设信息化</w:t>
      </w:r>
      <w:r>
        <w:rPr>
          <w:rFonts w:hint="eastAsia" w:ascii="宋体" w:hAnsi="宋体" w:eastAsia="宋体" w:cs="宋体"/>
          <w:sz w:val="28"/>
          <w:szCs w:val="28"/>
          <w:highlight w:val="none"/>
        </w:rPr>
        <w:t>要求进行建设。</w:t>
      </w:r>
    </w:p>
    <w:p>
      <w:pPr>
        <w:numPr>
          <w:ilvl w:val="0"/>
          <w:numId w:val="0"/>
        </w:numP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3.建设原则</w:t>
      </w:r>
    </w:p>
    <w:p>
      <w:pPr>
        <w:jc w:val="both"/>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3.1</w:t>
      </w:r>
      <w:r>
        <w:rPr>
          <w:rFonts w:hint="eastAsia" w:ascii="宋体" w:hAnsi="宋体" w:eastAsia="宋体" w:cs="宋体"/>
          <w:b/>
          <w:sz w:val="28"/>
          <w:szCs w:val="28"/>
          <w:highlight w:val="none"/>
        </w:rPr>
        <w:t xml:space="preserve"> 可行性原则</w:t>
      </w:r>
    </w:p>
    <w:p>
      <w:pPr>
        <w:ind w:firstLine="48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在项目前期，通过周密的系统调研和分析，确保对业务要求的正确理解；通过规范的项目管理和严密的系统测试，保证系统业务处理的可行性。同时，在应用系统的设计和实现中，应提供多种核查、审计手段，支持一致性数据模型，保证数据的一致性，完整性。</w:t>
      </w:r>
    </w:p>
    <w:p>
      <w:pPr>
        <w:jc w:val="both"/>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3.2</w:t>
      </w:r>
      <w:r>
        <w:rPr>
          <w:rFonts w:hint="eastAsia" w:ascii="宋体" w:hAnsi="宋体" w:eastAsia="宋体" w:cs="宋体"/>
          <w:b/>
          <w:sz w:val="28"/>
          <w:szCs w:val="28"/>
          <w:highlight w:val="none"/>
        </w:rPr>
        <w:t>.建设性原则</w:t>
      </w:r>
    </w:p>
    <w:p>
      <w:pPr>
        <w:ind w:firstLine="48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遵循医院整体建设的战略规划，根据建设任务和工作人员对建设项目的建设需求，加强顶层设计，统筹规划整个工程。</w:t>
      </w:r>
    </w:p>
    <w:p>
      <w:pPr>
        <w:jc w:val="both"/>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3.3</w:t>
      </w:r>
      <w:r>
        <w:rPr>
          <w:rFonts w:hint="eastAsia" w:ascii="宋体" w:hAnsi="宋体" w:eastAsia="宋体" w:cs="宋体"/>
          <w:b/>
          <w:sz w:val="28"/>
          <w:szCs w:val="28"/>
          <w:highlight w:val="none"/>
        </w:rPr>
        <w:t xml:space="preserve"> 安全性原则</w:t>
      </w:r>
    </w:p>
    <w:p>
      <w:pPr>
        <w:ind w:firstLine="48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系统网络和数据需要保证安全性。系统以完全脱敏的形式存储数据，对外展示及系统内容处理都应基于脱敏数据层次之上进一步封装的数据。确保系统不被非授权用户侵入，数据不丢失，传输时数据不被非法获取、篡改，确认对使用者、发送和接收者的身份等。</w:t>
      </w:r>
    </w:p>
    <w:p>
      <w:pPr>
        <w:jc w:val="both"/>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3.4</w:t>
      </w:r>
      <w:r>
        <w:rPr>
          <w:rFonts w:hint="eastAsia" w:ascii="宋体" w:hAnsi="宋体" w:eastAsia="宋体" w:cs="宋体"/>
          <w:b/>
          <w:sz w:val="28"/>
          <w:szCs w:val="28"/>
          <w:highlight w:val="none"/>
        </w:rPr>
        <w:t xml:space="preserve"> 可靠性原则</w:t>
      </w:r>
    </w:p>
    <w:p>
      <w:pPr>
        <w:ind w:firstLine="48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本系统在设计时应充分考虑对可靠性的要求，采用多种高可靠、高可用性技术以使系统能够保证高可靠性，尤其是保证关键业务的连续不间断运作和对非正常情况的可靠处理。</w:t>
      </w:r>
    </w:p>
    <w:p>
      <w:pPr>
        <w:jc w:val="both"/>
        <w:rPr>
          <w:rFonts w:hint="eastAsia" w:ascii="宋体" w:hAnsi="宋体" w:eastAsia="宋体" w:cs="宋体"/>
          <w:sz w:val="28"/>
          <w:szCs w:val="28"/>
          <w:highlight w:val="none"/>
        </w:rPr>
      </w:pPr>
      <w:r>
        <w:rPr>
          <w:rFonts w:hint="eastAsia" w:ascii="宋体" w:hAnsi="宋体" w:eastAsia="宋体" w:cs="宋体"/>
          <w:b/>
          <w:sz w:val="28"/>
          <w:szCs w:val="28"/>
          <w:highlight w:val="none"/>
          <w:lang w:val="en-US" w:eastAsia="zh-CN"/>
        </w:rPr>
        <w:t>3.5</w:t>
      </w:r>
      <w:r>
        <w:rPr>
          <w:rFonts w:hint="eastAsia" w:ascii="宋体" w:hAnsi="宋体" w:eastAsia="宋体" w:cs="宋体"/>
          <w:b/>
          <w:sz w:val="28"/>
          <w:szCs w:val="28"/>
          <w:highlight w:val="none"/>
        </w:rPr>
        <w:t xml:space="preserve"> 易操作性原则</w:t>
      </w:r>
    </w:p>
    <w:p>
      <w:pPr>
        <w:ind w:firstLine="48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系统操作流程明晰、高效，用户界面应简洁、友好、易于操作，用户不需要进行复杂的配置、长时间的培训即可上手操作。</w:t>
      </w:r>
    </w:p>
    <w:p>
      <w:pPr>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建设清单</w:t>
      </w:r>
      <w:r>
        <w:rPr>
          <w:rFonts w:hint="eastAsia" w:ascii="宋体" w:hAnsi="宋体" w:eastAsia="宋体" w:cs="宋体"/>
          <w:b/>
          <w:sz w:val="28"/>
          <w:szCs w:val="28"/>
          <w:highlight w:val="none"/>
          <w:lang w:eastAsia="zh-CN"/>
        </w:rPr>
        <w:t>（包括但不限于）</w:t>
      </w:r>
    </w:p>
    <w:tbl>
      <w:tblPr>
        <w:tblStyle w:val="4"/>
        <w:tblpPr w:leftFromText="180" w:rightFromText="180" w:vertAnchor="text" w:horzAnchor="page" w:tblpXSpec="center" w:tblpY="751"/>
        <w:tblOverlap w:val="never"/>
        <w:tblW w:w="48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2"/>
        <w:gridCol w:w="3319"/>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类别</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系统名称</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lang w:val="en-US" w:eastAsia="zh-CN"/>
              </w:rPr>
            </w:pPr>
            <w:r>
              <w:rPr>
                <w:rFonts w:hint="eastAsia" w:ascii="宋体" w:hAnsi="宋体" w:eastAsia="宋体" w:cs="宋体"/>
                <w:b/>
                <w:bCs/>
                <w:i w:val="0"/>
                <w:iCs w:val="0"/>
                <w:color w:val="000000"/>
                <w:sz w:val="28"/>
                <w:szCs w:val="28"/>
                <w:highlight w:val="none"/>
                <w:u w:val="none"/>
                <w:lang w:val="en-US" w:eastAsia="zh-CN"/>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临床业务</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住院医生工作站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住院护士工作站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highlight w:val="none"/>
                <w:u w:val="none"/>
                <w:lang w:val="en-US"/>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临床路径系统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住院电子病历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住院护理电子病历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住院入出转管理系统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手术分级授权管理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门诊住院随访管理系统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正畸管理系统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住院收费系统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对接医保智能监控系统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病种分值管理系统（DIP）</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DICOM阅读器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传染病上报系统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不良事件上报模块</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8"/>
                <w:szCs w:val="28"/>
                <w:highlight w:val="none"/>
                <w:u w:val="none"/>
                <w:lang w:val="en-US" w:eastAsia="zh-CN"/>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门诊住院药房管理系统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highlight w:val="none"/>
                <w:u w:val="none"/>
                <w:lang w:val="en-US"/>
              </w:rPr>
            </w:pPr>
            <w:r>
              <w:rPr>
                <w:rStyle w:val="6"/>
                <w:rFonts w:hint="eastAsia"/>
                <w:sz w:val="28"/>
                <w:szCs w:val="28"/>
                <w:highlight w:val="none"/>
                <w:lang w:val="en-US" w:eastAsia="zh-CN" w:bidi="ar"/>
              </w:rPr>
              <w:t>新增 与 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医技管理</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医技医生站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手术室管理系统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第三方检验系统对接</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highlight w:val="none"/>
                <w:u w:val="none"/>
                <w:lang w:val="en-US"/>
              </w:rPr>
            </w:pPr>
            <w:r>
              <w:rPr>
                <w:rStyle w:val="6"/>
                <w:rFonts w:hint="eastAsia"/>
                <w:sz w:val="28"/>
                <w:szCs w:val="28"/>
                <w:highlight w:val="none"/>
                <w:lang w:val="en-US" w:eastAsia="zh-CN" w:bidi="ar"/>
              </w:rPr>
              <w:t>对接 与 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手术麻醉系统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对接追溯系统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防统方软件</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运营管理</w:t>
            </w:r>
          </w:p>
        </w:tc>
        <w:tc>
          <w:tcPr>
            <w:tcW w:w="202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固定资产管理系统</w:t>
            </w:r>
          </w:p>
        </w:tc>
        <w:tc>
          <w:tcPr>
            <w:tcW w:w="19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OA系统</w:t>
            </w:r>
          </w:p>
        </w:tc>
        <w:tc>
          <w:tcPr>
            <w:tcW w:w="196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国家绩效考核数据报表</w:t>
            </w:r>
          </w:p>
        </w:tc>
        <w:tc>
          <w:tcPr>
            <w:tcW w:w="196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restart"/>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药事管理</w:t>
            </w: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处方前置审核系统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007"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处方点评系统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1007" w:type="pct"/>
            <w:vMerge w:val="continue"/>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合理用药</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抗菌药物管理系统</w:t>
            </w:r>
          </w:p>
        </w:tc>
        <w:tc>
          <w:tcPr>
            <w:tcW w:w="19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6"/>
                <w:rFonts w:hint="eastAsia"/>
                <w:sz w:val="28"/>
                <w:szCs w:val="28"/>
                <w:highlight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系统整改</w:t>
            </w: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门诊系统的改造</w:t>
            </w:r>
          </w:p>
        </w:tc>
        <w:tc>
          <w:tcPr>
            <w:tcW w:w="1967"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PACS系统改造</w:t>
            </w:r>
          </w:p>
        </w:tc>
        <w:tc>
          <w:tcPr>
            <w:tcW w:w="196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挂号系统改造</w:t>
            </w:r>
          </w:p>
        </w:tc>
        <w:tc>
          <w:tcPr>
            <w:tcW w:w="196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highlight w:val="none"/>
                <w:u w:val="none"/>
                <w:lang w:val="en-US"/>
              </w:rPr>
            </w:pPr>
            <w:r>
              <w:rPr>
                <w:rFonts w:hint="eastAsia" w:ascii="宋体" w:hAnsi="宋体" w:eastAsia="宋体" w:cs="宋体"/>
                <w:i w:val="0"/>
                <w:iCs w:val="0"/>
                <w:color w:val="000000"/>
                <w:kern w:val="0"/>
                <w:sz w:val="28"/>
                <w:szCs w:val="28"/>
                <w:highlight w:val="none"/>
                <w:u w:val="none"/>
                <w:lang w:val="en-US" w:eastAsia="zh-CN" w:bidi="ar"/>
              </w:rPr>
              <w:t>改造 与 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电子签名和身份认证</w:t>
            </w:r>
          </w:p>
        </w:tc>
        <w:tc>
          <w:tcPr>
            <w:tcW w:w="196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软件正版化</w:t>
            </w:r>
          </w:p>
        </w:tc>
        <w:tc>
          <w:tcPr>
            <w:tcW w:w="196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8"/>
                <w:szCs w:val="28"/>
                <w:highlight w:val="none"/>
                <w:u w:val="none"/>
                <w:lang w:val="en-US"/>
              </w:rPr>
            </w:pPr>
            <w:r>
              <w:rPr>
                <w:rFonts w:hint="eastAsia" w:ascii="宋体" w:hAnsi="宋体" w:eastAsia="宋体" w:cs="宋体"/>
                <w:i w:val="0"/>
                <w:iCs w:val="0"/>
                <w:color w:val="000000"/>
                <w:kern w:val="0"/>
                <w:sz w:val="28"/>
                <w:szCs w:val="28"/>
                <w:highlight w:val="none"/>
                <w:u w:val="none"/>
                <w:lang w:val="en-US" w:eastAsia="zh-CN" w:bidi="ar"/>
              </w:rPr>
              <w:t>通用软件Windows10（300）、Windows Server R2 2012（9）、WPS（300）等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新增系统的等保3.0测评</w:t>
            </w:r>
          </w:p>
        </w:tc>
        <w:tc>
          <w:tcPr>
            <w:tcW w:w="196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8"/>
                <w:szCs w:val="28"/>
                <w:highlight w:val="none"/>
                <w:u w:val="none"/>
              </w:rPr>
            </w:pPr>
          </w:p>
        </w:tc>
        <w:tc>
          <w:tcPr>
            <w:tcW w:w="20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其它第三方接口</w:t>
            </w:r>
          </w:p>
        </w:tc>
        <w:tc>
          <w:tcPr>
            <w:tcW w:w="1967"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其它</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sz w:val="21"/>
          <w:highlight w:val="none"/>
          <w:lang w:val="en-US" w:eastAsia="zh-CN"/>
        </w:rPr>
      </w:pPr>
    </w:p>
    <w:p>
      <w:pPr>
        <w:numPr>
          <w:ilvl w:val="0"/>
          <w:numId w:val="0"/>
        </w:numPr>
        <w:ind w:left="0" w:leftChars="0" w:firstLine="0" w:firstLineChars="0"/>
        <w:jc w:val="both"/>
        <w:rPr>
          <w:rFonts w:hint="eastAsia" w:ascii="宋体" w:hAnsi="宋体" w:eastAsia="宋体" w:cs="宋体"/>
          <w:b/>
          <w:sz w:val="28"/>
          <w:szCs w:val="28"/>
          <w:highlight w:val="none"/>
          <w:lang w:eastAsia="zh-CN"/>
        </w:rPr>
      </w:pPr>
      <w:r>
        <w:rPr>
          <w:rFonts w:hint="eastAsia" w:ascii="宋体" w:hAnsi="宋体" w:eastAsia="宋体" w:cs="宋体"/>
          <w:b/>
          <w:kern w:val="2"/>
          <w:sz w:val="28"/>
          <w:szCs w:val="28"/>
          <w:highlight w:val="none"/>
          <w:lang w:val="en-US" w:eastAsia="zh-CN" w:bidi="ar-SA"/>
        </w:rPr>
        <w:t>5</w:t>
      </w:r>
      <w:r>
        <w:rPr>
          <w:rFonts w:hint="eastAsia" w:ascii="宋体" w:hAnsi="宋体" w:eastAsia="宋体" w:cs="宋体"/>
          <w:b/>
          <w:sz w:val="28"/>
          <w:szCs w:val="28"/>
          <w:highlight w:val="none"/>
          <w:lang w:val="en-US" w:eastAsia="zh-CN"/>
        </w:rPr>
        <w:t>.信息化建设</w:t>
      </w:r>
      <w:r>
        <w:rPr>
          <w:rFonts w:hint="eastAsia" w:ascii="宋体" w:hAnsi="宋体" w:eastAsia="宋体" w:cs="宋体"/>
          <w:b/>
          <w:sz w:val="28"/>
          <w:szCs w:val="28"/>
          <w:highlight w:val="none"/>
        </w:rPr>
        <w:t>总体要求</w:t>
      </w:r>
      <w:r>
        <w:rPr>
          <w:rFonts w:hint="eastAsia" w:ascii="宋体" w:hAnsi="宋体" w:eastAsia="宋体" w:cs="宋体"/>
          <w:b/>
          <w:sz w:val="28"/>
          <w:szCs w:val="28"/>
          <w:highlight w:val="none"/>
          <w:lang w:eastAsia="zh-CN"/>
        </w:rPr>
        <w:t>（包括但不限于）</w:t>
      </w:r>
    </w:p>
    <w:tbl>
      <w:tblPr>
        <w:tblStyle w:val="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1941"/>
        <w:gridCol w:w="636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sz w:val="28"/>
                <w:szCs w:val="28"/>
                <w:highlight w:val="none"/>
              </w:rPr>
            </w:pPr>
            <w:r>
              <w:rPr>
                <w:b/>
                <w:sz w:val="28"/>
                <w:szCs w:val="28"/>
                <w:highlight w:val="none"/>
              </w:rPr>
              <w:t>要求（条款）</w:t>
            </w:r>
          </w:p>
        </w:tc>
        <w:tc>
          <w:tcPr>
            <w:tcW w:w="6365" w:type="dxa"/>
            <w:tcBorders>
              <w:top w:val="single" w:color="000000" w:sz="4" w:space="0"/>
              <w:left w:val="nil"/>
              <w:bottom w:val="single" w:color="000000" w:sz="4" w:space="0"/>
              <w:right w:val="single" w:color="000000" w:sz="4" w:space="0"/>
            </w:tcBorders>
            <w:shd w:val="clear" w:color="auto" w:fill="FFFFFF"/>
            <w:vAlign w:val="top"/>
          </w:tcPr>
          <w:p>
            <w:pPr>
              <w:jc w:val="center"/>
              <w:rPr>
                <w:rFonts w:hint="eastAsia" w:eastAsiaTheme="minorEastAsia"/>
                <w:sz w:val="28"/>
                <w:szCs w:val="28"/>
                <w:highlight w:val="none"/>
                <w:lang w:eastAsia="zh-CN"/>
              </w:rPr>
            </w:pPr>
            <w:r>
              <w:rPr>
                <w:rFonts w:hint="eastAsia"/>
                <w:b/>
                <w:sz w:val="28"/>
                <w:szCs w:val="28"/>
                <w:highlight w:val="none"/>
                <w:lang w:eastAsia="zh-CN"/>
              </w:rPr>
              <w:t>具体要求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eastAsiaTheme="minorEastAsia"/>
                <w:b/>
                <w:sz w:val="28"/>
                <w:szCs w:val="28"/>
                <w:highlight w:val="none"/>
                <w:lang w:val="en-US" w:eastAsia="zh-CN"/>
              </w:rPr>
            </w:pPr>
            <w:r>
              <w:rPr>
                <w:rFonts w:hint="eastAsia"/>
                <w:sz w:val="28"/>
                <w:szCs w:val="28"/>
                <w:highlight w:val="none"/>
                <w:lang w:val="en-US" w:eastAsia="zh-CN"/>
              </w:rPr>
              <w:t>1.</w:t>
            </w:r>
            <w:r>
              <w:rPr>
                <w:sz w:val="28"/>
                <w:szCs w:val="28"/>
                <w:highlight w:val="none"/>
              </w:rPr>
              <w:t>标准化</w:t>
            </w:r>
            <w:r>
              <w:rPr>
                <w:rFonts w:hint="eastAsia"/>
                <w:sz w:val="28"/>
                <w:szCs w:val="28"/>
                <w:highlight w:val="none"/>
                <w:lang w:eastAsia="zh-CN"/>
              </w:rPr>
              <w:t>要求</w:t>
            </w:r>
          </w:p>
        </w:tc>
        <w:tc>
          <w:tcPr>
            <w:tcW w:w="6365" w:type="dxa"/>
            <w:tcBorders>
              <w:top w:val="single" w:color="000000" w:sz="4" w:space="0"/>
              <w:left w:val="nil"/>
              <w:bottom w:val="single" w:color="000000" w:sz="4" w:space="0"/>
              <w:right w:val="single" w:color="000000" w:sz="4" w:space="0"/>
            </w:tcBorders>
            <w:shd w:val="clear" w:color="auto" w:fill="FFFFFF"/>
            <w:vAlign w:val="top"/>
          </w:tcPr>
          <w:p>
            <w:pPr>
              <w:jc w:val="left"/>
              <w:rPr>
                <w:sz w:val="28"/>
                <w:szCs w:val="28"/>
                <w:highlight w:val="none"/>
              </w:rPr>
            </w:pPr>
            <w:r>
              <w:rPr>
                <w:sz w:val="28"/>
                <w:szCs w:val="28"/>
                <w:highlight w:val="none"/>
              </w:rPr>
              <w:t>系统须遵循</w:t>
            </w:r>
            <w:r>
              <w:rPr>
                <w:rFonts w:hint="eastAsia"/>
                <w:sz w:val="28"/>
                <w:szCs w:val="28"/>
                <w:highlight w:val="none"/>
                <w:lang w:val="en-US" w:eastAsia="zh-CN"/>
              </w:rPr>
              <w:t>国家医疗信息化</w:t>
            </w:r>
            <w:r>
              <w:rPr>
                <w:sz w:val="28"/>
                <w:szCs w:val="28"/>
                <w:highlight w:val="none"/>
              </w:rPr>
              <w:t>规范和标准，以及其他卫生信息相关的国家标准和规范</w:t>
            </w:r>
            <w:r>
              <w:rPr>
                <w:rFonts w:hint="eastAsia"/>
                <w:sz w:val="28"/>
                <w:szCs w:val="28"/>
                <w:highlight w:val="none"/>
                <w:lang w:eastAsia="zh-CN"/>
              </w:rPr>
              <w:t>。</w:t>
            </w:r>
            <w:r>
              <w:rPr>
                <w:sz w:val="28"/>
                <w:szCs w:val="28"/>
                <w:highlight w:val="none"/>
              </w:rPr>
              <w:t>系统要按医院要求提供规范化的数据接口</w:t>
            </w:r>
            <w:r>
              <w:rPr>
                <w:rFonts w:hint="eastAsia"/>
                <w:sz w:val="28"/>
                <w:szCs w:val="28"/>
                <w:highlight w:val="none"/>
                <w:lang w:eastAsia="zh-CN"/>
              </w:rPr>
              <w:t>，</w:t>
            </w:r>
            <w:r>
              <w:rPr>
                <w:rFonts w:hint="eastAsia"/>
                <w:sz w:val="28"/>
                <w:szCs w:val="28"/>
                <w:highlight w:val="none"/>
                <w:lang w:val="en-US" w:eastAsia="zh-CN"/>
              </w:rPr>
              <w:t>满足医院开展临床业务及管理的需求。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sz w:val="28"/>
                <w:szCs w:val="28"/>
                <w:highlight w:val="none"/>
                <w:lang w:val="en-US" w:eastAsia="zh-CN"/>
              </w:rPr>
            </w:pPr>
            <w:r>
              <w:rPr>
                <w:rFonts w:hint="eastAsia"/>
                <w:sz w:val="28"/>
                <w:szCs w:val="28"/>
                <w:highlight w:val="none"/>
                <w:lang w:val="en-US" w:eastAsia="zh-CN"/>
              </w:rPr>
              <w:t>2.可持续性要求</w:t>
            </w:r>
          </w:p>
        </w:tc>
        <w:tc>
          <w:tcPr>
            <w:tcW w:w="6365" w:type="dxa"/>
            <w:tcBorders>
              <w:top w:val="single" w:color="000000" w:sz="4" w:space="0"/>
              <w:left w:val="nil"/>
              <w:bottom w:val="single" w:color="000000" w:sz="4" w:space="0"/>
              <w:right w:val="single" w:color="000000" w:sz="4" w:space="0"/>
            </w:tcBorders>
            <w:shd w:val="clear" w:color="auto" w:fill="FFFFFF"/>
            <w:vAlign w:val="top"/>
          </w:tcPr>
          <w:p>
            <w:pPr>
              <w:jc w:val="left"/>
              <w:rPr>
                <w:rFonts w:hint="eastAsia" w:eastAsiaTheme="minorEastAsia"/>
                <w:sz w:val="28"/>
                <w:szCs w:val="28"/>
                <w:highlight w:val="none"/>
                <w:lang w:eastAsia="zh-CN"/>
              </w:rPr>
            </w:pPr>
            <w:r>
              <w:rPr>
                <w:sz w:val="28"/>
                <w:szCs w:val="28"/>
                <w:highlight w:val="none"/>
              </w:rPr>
              <w:t>整个项目系统要求7x24小时运行，全年持续运行</w:t>
            </w:r>
            <w:r>
              <w:rPr>
                <w:rFonts w:hint="eastAsia"/>
                <w:sz w:val="28"/>
                <w:szCs w:val="28"/>
                <w:highlight w:val="none"/>
                <w:lang w:eastAsia="zh-CN"/>
              </w:rPr>
              <w:t>，全年</w:t>
            </w:r>
            <w:r>
              <w:rPr>
                <w:sz w:val="28"/>
                <w:szCs w:val="28"/>
                <w:highlight w:val="none"/>
              </w:rPr>
              <w:t>故障停运时间累计不能超过1小时。必须有高稳定性、和完整应急切换方案</w:t>
            </w:r>
            <w:r>
              <w:rPr>
                <w:rFonts w:hint="eastAsia"/>
                <w:sz w:val="28"/>
                <w:szCs w:val="28"/>
                <w:highlight w:val="none"/>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default"/>
                <w:sz w:val="28"/>
                <w:szCs w:val="28"/>
                <w:highlight w:val="none"/>
                <w:lang w:val="en-US" w:eastAsia="zh-CN"/>
              </w:rPr>
            </w:pPr>
            <w:r>
              <w:rPr>
                <w:rFonts w:hint="eastAsia"/>
                <w:sz w:val="28"/>
                <w:szCs w:val="28"/>
                <w:highlight w:val="none"/>
                <w:lang w:val="en-US" w:eastAsia="zh-CN"/>
              </w:rPr>
              <w:t>3.时效性要求</w:t>
            </w:r>
          </w:p>
        </w:tc>
        <w:tc>
          <w:tcPr>
            <w:tcW w:w="6365" w:type="dxa"/>
            <w:tcBorders>
              <w:top w:val="single" w:color="000000" w:sz="4" w:space="0"/>
              <w:left w:val="nil"/>
              <w:bottom w:val="single" w:color="000000" w:sz="4" w:space="0"/>
              <w:right w:val="single" w:color="000000" w:sz="4" w:space="0"/>
            </w:tcBorders>
            <w:shd w:val="clear" w:color="auto" w:fill="FFFFFF"/>
            <w:vAlign w:val="top"/>
          </w:tcPr>
          <w:p>
            <w:pPr>
              <w:jc w:val="left"/>
              <w:rPr>
                <w:sz w:val="28"/>
                <w:szCs w:val="28"/>
                <w:highlight w:val="none"/>
              </w:rPr>
            </w:pPr>
            <w:r>
              <w:rPr>
                <w:sz w:val="28"/>
                <w:szCs w:val="28"/>
                <w:highlight w:val="none"/>
              </w:rPr>
              <w:t>能够满足</w:t>
            </w:r>
            <w:r>
              <w:rPr>
                <w:rFonts w:hint="eastAsia"/>
                <w:sz w:val="28"/>
                <w:szCs w:val="28"/>
                <w:highlight w:val="none"/>
                <w:lang w:val="en-US" w:eastAsia="zh-CN"/>
              </w:rPr>
              <w:t>医院现有</w:t>
            </w:r>
            <w:r>
              <w:rPr>
                <w:sz w:val="28"/>
                <w:szCs w:val="28"/>
                <w:highlight w:val="none"/>
              </w:rPr>
              <w:t>终端</w:t>
            </w:r>
            <w:r>
              <w:rPr>
                <w:rFonts w:hint="eastAsia"/>
                <w:sz w:val="28"/>
                <w:szCs w:val="28"/>
                <w:highlight w:val="none"/>
                <w:lang w:val="en-US" w:eastAsia="zh-CN"/>
              </w:rPr>
              <w:t>及新购终端的</w:t>
            </w:r>
            <w:r>
              <w:rPr>
                <w:sz w:val="28"/>
                <w:szCs w:val="28"/>
                <w:highlight w:val="none"/>
              </w:rPr>
              <w:t>在线使用，响应时间不高于3秒。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4</w:t>
            </w:r>
            <w:r>
              <w:rPr>
                <w:sz w:val="28"/>
                <w:szCs w:val="28"/>
                <w:highlight w:val="none"/>
              </w:rPr>
              <w:t>.项目实施的人力资源要求</w:t>
            </w:r>
          </w:p>
          <w:p>
            <w:pPr>
              <w:jc w:val="both"/>
              <w:rPr>
                <w:sz w:val="28"/>
                <w:szCs w:val="28"/>
                <w:highlight w:val="none"/>
              </w:rPr>
            </w:pPr>
          </w:p>
        </w:tc>
        <w:tc>
          <w:tcPr>
            <w:tcW w:w="6365" w:type="dxa"/>
            <w:tcBorders>
              <w:top w:val="nil"/>
              <w:left w:val="nil"/>
              <w:bottom w:val="single" w:color="000000" w:sz="4" w:space="0"/>
              <w:right w:val="single" w:color="000000" w:sz="4" w:space="0"/>
            </w:tcBorders>
            <w:shd w:val="clear" w:color="auto" w:fill="FFFFFF"/>
            <w:vAlign w:val="top"/>
          </w:tcPr>
          <w:p>
            <w:pPr>
              <w:jc w:val="both"/>
              <w:rPr>
                <w:sz w:val="28"/>
                <w:szCs w:val="28"/>
                <w:highlight w:val="none"/>
              </w:rPr>
            </w:pPr>
            <w:r>
              <w:rPr>
                <w:sz w:val="28"/>
                <w:szCs w:val="28"/>
                <w:highlight w:val="none"/>
              </w:rPr>
              <w:t>本项目分为实施期与运维期两个主要时期，</w:t>
            </w:r>
            <w:r>
              <w:rPr>
                <w:rFonts w:hint="eastAsia"/>
                <w:sz w:val="28"/>
                <w:szCs w:val="28"/>
                <w:highlight w:val="none"/>
                <w:lang w:eastAsia="zh-CN"/>
              </w:rPr>
              <w:t>期间</w:t>
            </w:r>
            <w:r>
              <w:rPr>
                <w:sz w:val="28"/>
                <w:szCs w:val="28"/>
                <w:highlight w:val="none"/>
              </w:rPr>
              <w:t>应为本项目组建技术储备团队，提供技术支持，并在必要时按需将储备团队的人员派驻到采购人现场加强服务。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5</w:t>
            </w:r>
            <w:r>
              <w:rPr>
                <w:sz w:val="28"/>
                <w:szCs w:val="28"/>
                <w:highlight w:val="none"/>
              </w:rPr>
              <w:t>.文档及源代码要求</w:t>
            </w:r>
          </w:p>
        </w:tc>
        <w:tc>
          <w:tcPr>
            <w:tcW w:w="6365" w:type="dxa"/>
            <w:tcBorders>
              <w:top w:val="nil"/>
              <w:left w:val="nil"/>
              <w:bottom w:val="single" w:color="000000" w:sz="4" w:space="0"/>
              <w:right w:val="single" w:color="000000" w:sz="4" w:space="0"/>
            </w:tcBorders>
            <w:shd w:val="clear" w:color="auto" w:fill="FFFFFF"/>
            <w:vAlign w:val="top"/>
          </w:tcPr>
          <w:p>
            <w:pPr>
              <w:jc w:val="both"/>
              <w:rPr>
                <w:rFonts w:hint="default" w:eastAsiaTheme="minorEastAsia"/>
                <w:sz w:val="28"/>
                <w:szCs w:val="28"/>
                <w:highlight w:val="none"/>
                <w:lang w:val="en-US" w:eastAsia="zh-CN"/>
              </w:rPr>
            </w:pPr>
            <w:r>
              <w:rPr>
                <w:rFonts w:hint="eastAsia"/>
                <w:sz w:val="28"/>
                <w:szCs w:val="28"/>
                <w:highlight w:val="none"/>
                <w:lang w:eastAsia="zh-CN"/>
              </w:rPr>
              <w:t>代码规范要求：</w:t>
            </w:r>
            <w:r>
              <w:rPr>
                <w:sz w:val="28"/>
                <w:szCs w:val="28"/>
                <w:highlight w:val="none"/>
              </w:rPr>
              <w:t>严格遵照相关的国际、国内及行业标准，系统软件开发的规范化保证，要有统一的命名规范，良好的编码风格，统一的代码布局格式，详尽的程序注解等，对软件开发的各个阶段都要进行质量评审，并提供评审报告。</w:t>
            </w:r>
            <w:r>
              <w:rPr>
                <w:rFonts w:hint="eastAsia"/>
                <w:sz w:val="28"/>
                <w:szCs w:val="28"/>
                <w:highlight w:val="none"/>
                <w:lang w:val="en-US" w:eastAsia="zh-CN"/>
              </w:rPr>
              <w:t>需提交源代码。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3</w:t>
            </w:r>
            <w:r>
              <w:rPr>
                <w:sz w:val="28"/>
                <w:szCs w:val="28"/>
                <w:highlight w:val="none"/>
              </w:rPr>
              <w:t>、评级要求</w:t>
            </w:r>
          </w:p>
        </w:tc>
        <w:tc>
          <w:tcPr>
            <w:tcW w:w="6365" w:type="dxa"/>
            <w:tcBorders>
              <w:top w:val="nil"/>
              <w:left w:val="nil"/>
              <w:bottom w:val="single" w:color="000000" w:sz="4" w:space="0"/>
              <w:right w:val="single" w:color="000000" w:sz="4" w:space="0"/>
            </w:tcBorders>
            <w:shd w:val="clear" w:color="auto" w:fill="FFFFFF"/>
            <w:vAlign w:val="top"/>
          </w:tcPr>
          <w:p>
            <w:pPr>
              <w:jc w:val="both"/>
              <w:rPr>
                <w:sz w:val="28"/>
                <w:szCs w:val="28"/>
                <w:highlight w:val="none"/>
              </w:rPr>
            </w:pPr>
            <w:r>
              <w:rPr>
                <w:sz w:val="28"/>
                <w:szCs w:val="28"/>
                <w:highlight w:val="none"/>
              </w:rPr>
              <w:t>系统建设应对标国家相关标准，符合采购人未来五年信息化的发展需求，符合国家相关标准包括并不限于以下标准：</w:t>
            </w:r>
          </w:p>
          <w:p>
            <w:pPr>
              <w:jc w:val="both"/>
              <w:rPr>
                <w:sz w:val="28"/>
                <w:szCs w:val="28"/>
                <w:highlight w:val="none"/>
              </w:rPr>
            </w:pPr>
            <w:r>
              <w:rPr>
                <w:sz w:val="28"/>
                <w:szCs w:val="28"/>
                <w:highlight w:val="none"/>
              </w:rPr>
              <w:t>电子病历系统应用水平分级评价</w:t>
            </w:r>
            <w:r>
              <w:rPr>
                <w:rFonts w:hint="eastAsia"/>
                <w:sz w:val="28"/>
                <w:szCs w:val="28"/>
                <w:highlight w:val="none"/>
                <w:lang w:val="en-US" w:eastAsia="zh-CN"/>
              </w:rPr>
              <w:t>3</w:t>
            </w:r>
            <w:r>
              <w:rPr>
                <w:sz w:val="28"/>
                <w:szCs w:val="28"/>
                <w:highlight w:val="none"/>
              </w:rPr>
              <w:t>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4</w:t>
            </w:r>
            <w:r>
              <w:rPr>
                <w:sz w:val="28"/>
                <w:szCs w:val="28"/>
                <w:highlight w:val="none"/>
              </w:rPr>
              <w:t>、安全要求</w:t>
            </w:r>
          </w:p>
        </w:tc>
        <w:tc>
          <w:tcPr>
            <w:tcW w:w="6365" w:type="dxa"/>
            <w:tcBorders>
              <w:top w:val="nil"/>
              <w:left w:val="nil"/>
              <w:bottom w:val="single" w:color="000000" w:sz="4" w:space="0"/>
              <w:right w:val="single" w:color="000000" w:sz="4" w:space="0"/>
            </w:tcBorders>
            <w:shd w:val="clear" w:color="auto" w:fill="FFFFFF"/>
            <w:vAlign w:val="top"/>
          </w:tcPr>
          <w:p>
            <w:pPr>
              <w:jc w:val="both"/>
              <w:rPr>
                <w:sz w:val="28"/>
                <w:szCs w:val="28"/>
                <w:highlight w:val="none"/>
              </w:rPr>
            </w:pPr>
            <w:r>
              <w:rPr>
                <w:rFonts w:hint="eastAsia"/>
                <w:sz w:val="28"/>
                <w:szCs w:val="28"/>
                <w:highlight w:val="none"/>
                <w:lang w:val="en-US" w:eastAsia="zh-CN"/>
              </w:rPr>
              <w:t>1.</w:t>
            </w:r>
            <w:r>
              <w:rPr>
                <w:sz w:val="28"/>
                <w:szCs w:val="28"/>
                <w:highlight w:val="none"/>
              </w:rPr>
              <w:t>供应商所实施的软件系统应满足以下国家法规或标准：</w:t>
            </w:r>
          </w:p>
          <w:p>
            <w:pPr>
              <w:jc w:val="both"/>
              <w:rPr>
                <w:sz w:val="28"/>
                <w:szCs w:val="28"/>
                <w:highlight w:val="none"/>
              </w:rPr>
            </w:pPr>
            <w:r>
              <w:rPr>
                <w:sz w:val="28"/>
                <w:szCs w:val="28"/>
                <w:highlight w:val="none"/>
              </w:rPr>
              <w:t>●中华人民共和国网络安全法</w:t>
            </w:r>
          </w:p>
          <w:p>
            <w:pPr>
              <w:jc w:val="both"/>
              <w:rPr>
                <w:sz w:val="28"/>
                <w:szCs w:val="28"/>
                <w:highlight w:val="none"/>
              </w:rPr>
            </w:pPr>
            <w:r>
              <w:rPr>
                <w:sz w:val="28"/>
                <w:szCs w:val="28"/>
                <w:highlight w:val="none"/>
              </w:rPr>
              <w:t>●中华人民共和国密码法</w:t>
            </w:r>
          </w:p>
          <w:p>
            <w:pPr>
              <w:jc w:val="both"/>
              <w:rPr>
                <w:sz w:val="28"/>
                <w:szCs w:val="28"/>
                <w:highlight w:val="none"/>
              </w:rPr>
            </w:pPr>
            <w:r>
              <w:rPr>
                <w:sz w:val="28"/>
                <w:szCs w:val="28"/>
                <w:highlight w:val="none"/>
              </w:rPr>
              <w:t>●中华人民共和国数据安全法</w:t>
            </w:r>
          </w:p>
          <w:p>
            <w:pPr>
              <w:jc w:val="both"/>
              <w:rPr>
                <w:sz w:val="28"/>
                <w:szCs w:val="28"/>
                <w:highlight w:val="none"/>
              </w:rPr>
            </w:pPr>
            <w:r>
              <w:rPr>
                <w:sz w:val="28"/>
                <w:szCs w:val="28"/>
                <w:highlight w:val="none"/>
              </w:rPr>
              <w:t>●中华人民共和国个人信息保护法</w:t>
            </w:r>
          </w:p>
          <w:p>
            <w:pPr>
              <w:jc w:val="both"/>
              <w:rPr>
                <w:sz w:val="28"/>
                <w:szCs w:val="28"/>
                <w:highlight w:val="none"/>
              </w:rPr>
            </w:pPr>
            <w:r>
              <w:rPr>
                <w:sz w:val="28"/>
                <w:szCs w:val="28"/>
                <w:highlight w:val="none"/>
              </w:rPr>
              <w:t>●关键信息基础设施安全保护条例</w:t>
            </w:r>
          </w:p>
          <w:p>
            <w:pPr>
              <w:jc w:val="both"/>
              <w:rPr>
                <w:sz w:val="28"/>
                <w:szCs w:val="28"/>
                <w:highlight w:val="none"/>
              </w:rPr>
            </w:pPr>
            <w:r>
              <w:rPr>
                <w:sz w:val="28"/>
                <w:szCs w:val="28"/>
                <w:highlight w:val="none"/>
              </w:rPr>
              <w:t>●信息安全技术—网络安全等级保护基本要求（GBT22239-2019）</w:t>
            </w:r>
          </w:p>
          <w:p>
            <w:pPr>
              <w:jc w:val="both"/>
              <w:rPr>
                <w:sz w:val="28"/>
                <w:szCs w:val="28"/>
                <w:highlight w:val="none"/>
              </w:rPr>
            </w:pPr>
            <w:r>
              <w:rPr>
                <w:sz w:val="28"/>
                <w:szCs w:val="28"/>
                <w:highlight w:val="none"/>
              </w:rPr>
              <w:t>●信息安全技术信息系统密码应用基本要求（GB/T39786-2021）</w:t>
            </w:r>
          </w:p>
          <w:p>
            <w:pPr>
              <w:numPr>
                <w:ilvl w:val="0"/>
                <w:numId w:val="1"/>
              </w:numPr>
              <w:jc w:val="both"/>
              <w:rPr>
                <w:sz w:val="28"/>
                <w:szCs w:val="28"/>
                <w:highlight w:val="none"/>
              </w:rPr>
            </w:pPr>
            <w:r>
              <w:rPr>
                <w:sz w:val="28"/>
                <w:szCs w:val="28"/>
                <w:highlight w:val="none"/>
              </w:rPr>
              <w:t>符合信息安全等级保护</w:t>
            </w:r>
            <w:r>
              <w:rPr>
                <w:rFonts w:hint="eastAsia"/>
                <w:sz w:val="28"/>
                <w:szCs w:val="28"/>
                <w:highlight w:val="none"/>
                <w:lang w:val="en-US" w:eastAsia="zh-CN"/>
              </w:rPr>
              <w:t>3</w:t>
            </w:r>
            <w:r>
              <w:rPr>
                <w:sz w:val="28"/>
                <w:szCs w:val="28"/>
                <w:highlight w:val="none"/>
              </w:rPr>
              <w:t>.0三级测评要求。</w:t>
            </w:r>
          </w:p>
          <w:p>
            <w:pPr>
              <w:numPr>
                <w:ilvl w:val="0"/>
                <w:numId w:val="1"/>
              </w:numPr>
              <w:jc w:val="both"/>
              <w:rPr>
                <w:sz w:val="28"/>
                <w:szCs w:val="28"/>
                <w:highlight w:val="none"/>
              </w:rPr>
            </w:pPr>
            <w:r>
              <w:rPr>
                <w:sz w:val="28"/>
                <w:szCs w:val="28"/>
                <w:highlight w:val="none"/>
              </w:rPr>
              <w:t>配合完成信息网络安全对于系统软件</w:t>
            </w:r>
            <w:r>
              <w:rPr>
                <w:rFonts w:hint="eastAsia"/>
                <w:sz w:val="28"/>
                <w:szCs w:val="28"/>
                <w:highlight w:val="none"/>
                <w:lang w:val="en-US" w:eastAsia="zh-CN"/>
              </w:rPr>
              <w:t>其它</w:t>
            </w:r>
            <w:r>
              <w:rPr>
                <w:sz w:val="28"/>
                <w:szCs w:val="28"/>
                <w:highlight w:val="none"/>
              </w:rPr>
              <w:t>相关工作：</w:t>
            </w:r>
          </w:p>
          <w:p>
            <w:pPr>
              <w:jc w:val="both"/>
              <w:rPr>
                <w:sz w:val="28"/>
                <w:szCs w:val="28"/>
                <w:highlight w:val="none"/>
              </w:rPr>
            </w:pPr>
            <w:r>
              <w:rPr>
                <w:sz w:val="28"/>
                <w:szCs w:val="28"/>
                <w:highlight w:val="none"/>
              </w:rPr>
              <w:t>1)本项目所交付的系统，满足信息安全等级保护测评的三级测评，并协助医院取得公安部门的等保三级回执；</w:t>
            </w:r>
          </w:p>
          <w:p>
            <w:pPr>
              <w:jc w:val="both"/>
              <w:rPr>
                <w:sz w:val="28"/>
                <w:szCs w:val="28"/>
                <w:highlight w:val="none"/>
              </w:rPr>
            </w:pPr>
            <w:r>
              <w:rPr>
                <w:sz w:val="28"/>
                <w:szCs w:val="28"/>
                <w:highlight w:val="none"/>
              </w:rPr>
              <w:t>2)满足商用密码应用安全评估对于系统的软件要求。</w:t>
            </w:r>
          </w:p>
          <w:p>
            <w:pPr>
              <w:jc w:val="both"/>
              <w:rPr>
                <w:sz w:val="28"/>
                <w:szCs w:val="28"/>
                <w:highlight w:val="none"/>
              </w:rPr>
            </w:pPr>
            <w:r>
              <w:rPr>
                <w:sz w:val="28"/>
                <w:szCs w:val="28"/>
                <w:highlight w:val="none"/>
              </w:rPr>
              <w:t>3）满足信息技术应用创新产业相关对于系统的软件的整改要求。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rFonts w:hint="eastAsia" w:eastAsiaTheme="minorEastAsia"/>
                <w:sz w:val="28"/>
                <w:szCs w:val="28"/>
                <w:highlight w:val="none"/>
                <w:lang w:eastAsia="zh-CN"/>
              </w:rPr>
            </w:pPr>
            <w:r>
              <w:rPr>
                <w:rFonts w:hint="eastAsia"/>
                <w:sz w:val="28"/>
                <w:szCs w:val="28"/>
                <w:highlight w:val="none"/>
                <w:lang w:val="en-US" w:eastAsia="zh-CN"/>
              </w:rPr>
              <w:t>5</w:t>
            </w:r>
            <w:r>
              <w:rPr>
                <w:sz w:val="28"/>
                <w:szCs w:val="28"/>
                <w:highlight w:val="none"/>
              </w:rPr>
              <w:t>.一体化建设</w:t>
            </w:r>
            <w:r>
              <w:rPr>
                <w:rFonts w:hint="eastAsia"/>
                <w:sz w:val="28"/>
                <w:szCs w:val="28"/>
                <w:highlight w:val="none"/>
                <w:lang w:eastAsia="zh-CN"/>
              </w:rPr>
              <w:t>要求</w:t>
            </w:r>
          </w:p>
          <w:p>
            <w:pPr>
              <w:jc w:val="both"/>
              <w:rPr>
                <w:sz w:val="28"/>
                <w:szCs w:val="28"/>
                <w:highlight w:val="none"/>
              </w:rPr>
            </w:pPr>
          </w:p>
          <w:p>
            <w:pPr>
              <w:jc w:val="both"/>
              <w:rPr>
                <w:sz w:val="28"/>
                <w:szCs w:val="28"/>
                <w:highlight w:val="none"/>
              </w:rPr>
            </w:pPr>
          </w:p>
          <w:p>
            <w:pPr>
              <w:jc w:val="both"/>
              <w:rPr>
                <w:sz w:val="28"/>
                <w:szCs w:val="28"/>
                <w:highlight w:val="none"/>
              </w:rPr>
            </w:pPr>
          </w:p>
        </w:tc>
        <w:tc>
          <w:tcPr>
            <w:tcW w:w="6365" w:type="dxa"/>
            <w:tcBorders>
              <w:top w:val="nil"/>
              <w:left w:val="nil"/>
              <w:bottom w:val="single" w:color="000000" w:sz="4" w:space="0"/>
              <w:right w:val="single" w:color="000000" w:sz="4" w:space="0"/>
            </w:tcBorders>
            <w:shd w:val="clear" w:color="auto" w:fill="FFFFFF"/>
            <w:vAlign w:val="top"/>
          </w:tcPr>
          <w:p>
            <w:pPr>
              <w:jc w:val="both"/>
              <w:rPr>
                <w:rFonts w:hint="eastAsia" w:eastAsiaTheme="minorEastAsia"/>
                <w:sz w:val="28"/>
                <w:szCs w:val="28"/>
                <w:highlight w:val="none"/>
                <w:lang w:val="en-US" w:eastAsia="zh-CN"/>
              </w:rPr>
            </w:pPr>
            <w:r>
              <w:rPr>
                <w:sz w:val="28"/>
                <w:szCs w:val="28"/>
                <w:highlight w:val="none"/>
              </w:rPr>
              <w:t xml:space="preserve">系统与医院现有的相关信息系统（包含但不限于 </w:t>
            </w:r>
            <w:r>
              <w:rPr>
                <w:rFonts w:hint="eastAsia"/>
                <w:sz w:val="28"/>
                <w:szCs w:val="28"/>
                <w:highlight w:val="none"/>
                <w:lang w:val="en-US" w:eastAsia="zh-CN"/>
              </w:rPr>
              <w:t>现有</w:t>
            </w:r>
            <w:r>
              <w:rPr>
                <w:sz w:val="28"/>
                <w:szCs w:val="28"/>
                <w:highlight w:val="none"/>
              </w:rPr>
              <w:t>HIS系统等业务需要的相关系统）对接。HIS等子系统一体化建设并对第三方系统进行整合，采用“一个设计一个系统”架构的解决方案。</w:t>
            </w:r>
            <w:r>
              <w:rPr>
                <w:rFonts w:hint="eastAsia"/>
                <w:sz w:val="28"/>
                <w:szCs w:val="28"/>
                <w:highlight w:val="none"/>
                <w:lang w:val="en-US" w:eastAsia="zh-CN"/>
              </w:rPr>
              <w:t>包括：</w:t>
            </w:r>
            <w:r>
              <w:rPr>
                <w:sz w:val="28"/>
                <w:szCs w:val="28"/>
                <w:highlight w:val="none"/>
              </w:rPr>
              <w:t>1)设计、开发一体化</w:t>
            </w:r>
            <w:r>
              <w:rPr>
                <w:rFonts w:hint="eastAsia"/>
                <w:sz w:val="28"/>
                <w:szCs w:val="28"/>
                <w:highlight w:val="none"/>
                <w:lang w:eastAsia="zh-CN"/>
              </w:rPr>
              <w:t>；</w:t>
            </w:r>
            <w:r>
              <w:rPr>
                <w:sz w:val="28"/>
                <w:szCs w:val="28"/>
                <w:highlight w:val="none"/>
              </w:rPr>
              <w:t>2)运维、管理一体化</w:t>
            </w:r>
            <w:r>
              <w:rPr>
                <w:rFonts w:hint="eastAsia"/>
                <w:sz w:val="28"/>
                <w:szCs w:val="28"/>
                <w:highlight w:val="none"/>
                <w:lang w:eastAsia="zh-CN"/>
              </w:rPr>
              <w:t>；</w:t>
            </w:r>
            <w:r>
              <w:rPr>
                <w:sz w:val="28"/>
                <w:szCs w:val="28"/>
                <w:highlight w:val="none"/>
              </w:rPr>
              <w:t>3)部署一体化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7</w:t>
            </w:r>
            <w:r>
              <w:rPr>
                <w:sz w:val="28"/>
                <w:szCs w:val="28"/>
                <w:highlight w:val="none"/>
              </w:rPr>
              <w:t>.售后服务</w:t>
            </w:r>
          </w:p>
          <w:p>
            <w:pPr>
              <w:jc w:val="both"/>
              <w:rPr>
                <w:sz w:val="28"/>
                <w:szCs w:val="28"/>
                <w:highlight w:val="none"/>
              </w:rPr>
            </w:pPr>
          </w:p>
        </w:tc>
        <w:tc>
          <w:tcPr>
            <w:tcW w:w="6365" w:type="dxa"/>
            <w:tcBorders>
              <w:top w:val="nil"/>
              <w:left w:val="nil"/>
              <w:bottom w:val="single" w:color="000000" w:sz="4" w:space="0"/>
              <w:right w:val="single" w:color="000000" w:sz="4" w:space="0"/>
            </w:tcBorders>
            <w:shd w:val="clear" w:color="auto" w:fill="FFFFFF"/>
            <w:vAlign w:val="top"/>
          </w:tcPr>
          <w:p>
            <w:pPr>
              <w:jc w:val="both"/>
              <w:rPr>
                <w:sz w:val="28"/>
                <w:szCs w:val="28"/>
                <w:highlight w:val="none"/>
              </w:rPr>
            </w:pPr>
            <w:r>
              <w:rPr>
                <w:sz w:val="28"/>
                <w:szCs w:val="28"/>
                <w:highlight w:val="none"/>
              </w:rPr>
              <w:t>供应商为本项目提供</w:t>
            </w:r>
            <w:bookmarkStart w:id="0" w:name="_GoBack"/>
            <w:bookmarkEnd w:id="0"/>
            <w:r>
              <w:rPr>
                <w:sz w:val="28"/>
                <w:szCs w:val="28"/>
                <w:highlight w:val="none"/>
              </w:rPr>
              <w:t>为期不低于</w:t>
            </w:r>
            <w:r>
              <w:rPr>
                <w:rFonts w:hint="eastAsia"/>
                <w:sz w:val="28"/>
                <w:szCs w:val="28"/>
                <w:highlight w:val="none"/>
                <w:lang w:val="en-US" w:eastAsia="zh-CN"/>
              </w:rPr>
              <w:t>3</w:t>
            </w:r>
            <w:r>
              <w:rPr>
                <w:sz w:val="28"/>
                <w:szCs w:val="28"/>
                <w:highlight w:val="none"/>
              </w:rPr>
              <w:t>年的新需求的响应服务和系统运维服务，服务期从项目终验之日算起。服务期内新需求不再另外收费，新需求是指因政策变化或业务变动产生的属于本项目标的范围内需求或经采购人确认属于本项目范围内的需求，新需求包括并不限于新功能和新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000000" w:sz="4" w:space="0"/>
              <w:right w:val="single" w:color="000000" w:sz="4" w:space="0"/>
            </w:tcBorders>
            <w:shd w:val="clear" w:color="auto" w:fill="FFFFFF"/>
          </w:tcPr>
          <w:p>
            <w:pPr>
              <w:jc w:val="both"/>
              <w:rPr>
                <w:sz w:val="28"/>
                <w:szCs w:val="28"/>
                <w:highlight w:val="none"/>
              </w:rPr>
            </w:pPr>
            <w:r>
              <w:rPr>
                <w:rFonts w:hint="eastAsia"/>
                <w:color w:val="000000"/>
                <w:sz w:val="28"/>
                <w:szCs w:val="28"/>
                <w:highlight w:val="none"/>
                <w:lang w:val="en-US" w:eastAsia="zh-CN"/>
              </w:rPr>
              <w:t>8</w:t>
            </w:r>
            <w:r>
              <w:rPr>
                <w:color w:val="000000"/>
                <w:sz w:val="28"/>
                <w:szCs w:val="28"/>
                <w:highlight w:val="none"/>
              </w:rPr>
              <w:t>.实施稳定性要求</w:t>
            </w:r>
          </w:p>
        </w:tc>
        <w:tc>
          <w:tcPr>
            <w:tcW w:w="6365" w:type="dxa"/>
            <w:tcBorders>
              <w:top w:val="nil"/>
              <w:left w:val="nil"/>
              <w:bottom w:val="single" w:color="000000" w:sz="4" w:space="0"/>
              <w:right w:val="single" w:color="000000" w:sz="4" w:space="0"/>
            </w:tcBorders>
            <w:shd w:val="clear" w:color="auto" w:fill="FFFFFF"/>
            <w:vAlign w:val="top"/>
          </w:tcPr>
          <w:p>
            <w:pPr>
              <w:jc w:val="both"/>
              <w:rPr>
                <w:sz w:val="28"/>
                <w:szCs w:val="28"/>
                <w:highlight w:val="none"/>
              </w:rPr>
            </w:pPr>
            <w:r>
              <w:rPr>
                <w:sz w:val="28"/>
                <w:szCs w:val="28"/>
                <w:highlight w:val="none"/>
              </w:rPr>
              <w:t>系统上线期间，供应商应妥善处理好采购人旧系统与新系统的切换过程，确保新旧业务系统的平滑过渡，保障基本医疗业务流程的正常运行，并满足以下要求：</w:t>
            </w:r>
          </w:p>
          <w:p>
            <w:pPr>
              <w:jc w:val="both"/>
              <w:rPr>
                <w:sz w:val="28"/>
                <w:szCs w:val="28"/>
                <w:highlight w:val="none"/>
              </w:rPr>
            </w:pPr>
            <w:r>
              <w:rPr>
                <w:sz w:val="28"/>
                <w:szCs w:val="28"/>
                <w:highlight w:val="none"/>
              </w:rPr>
              <w:t>系统上线阶段新旧系统</w:t>
            </w:r>
            <w:r>
              <w:rPr>
                <w:rFonts w:hint="eastAsia"/>
                <w:sz w:val="28"/>
                <w:szCs w:val="28"/>
                <w:highlight w:val="none"/>
                <w:lang w:eastAsia="zh-CN"/>
              </w:rPr>
              <w:t>（</w:t>
            </w:r>
            <w:r>
              <w:rPr>
                <w:sz w:val="28"/>
                <w:szCs w:val="28"/>
                <w:highlight w:val="none"/>
              </w:rPr>
              <w:t xml:space="preserve">包含但不限于 </w:t>
            </w:r>
            <w:r>
              <w:rPr>
                <w:rFonts w:hint="eastAsia"/>
                <w:sz w:val="28"/>
                <w:szCs w:val="28"/>
                <w:highlight w:val="none"/>
                <w:lang w:val="en-US" w:eastAsia="zh-CN"/>
              </w:rPr>
              <w:t>现有</w:t>
            </w:r>
            <w:r>
              <w:rPr>
                <w:sz w:val="28"/>
                <w:szCs w:val="28"/>
                <w:highlight w:val="none"/>
              </w:rPr>
              <w:t>HIS系统等业务需要的相关系统共存、并行</w:t>
            </w:r>
            <w:r>
              <w:rPr>
                <w:rFonts w:hint="eastAsia"/>
                <w:sz w:val="28"/>
                <w:szCs w:val="28"/>
                <w:highlight w:val="none"/>
                <w:lang w:eastAsia="zh-CN"/>
              </w:rPr>
              <w:t>）</w:t>
            </w:r>
            <w:r>
              <w:rPr>
                <w:sz w:val="28"/>
                <w:szCs w:val="28"/>
                <w:highlight w:val="none"/>
              </w:rPr>
              <w:t>；</w:t>
            </w:r>
          </w:p>
          <w:p>
            <w:pPr>
              <w:jc w:val="both"/>
              <w:rPr>
                <w:sz w:val="28"/>
                <w:szCs w:val="28"/>
                <w:highlight w:val="none"/>
              </w:rPr>
            </w:pPr>
            <w:r>
              <w:rPr>
                <w:sz w:val="28"/>
                <w:szCs w:val="28"/>
                <w:highlight w:val="none"/>
              </w:rPr>
              <w:t>（需提供可行的历史数据迁移方案）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941" w:type="dxa"/>
            <w:tcBorders>
              <w:top w:val="nil"/>
              <w:left w:val="single" w:color="000000" w:sz="4" w:space="0"/>
              <w:bottom w:val="single" w:color="auto" w:sz="4" w:space="0"/>
              <w:right w:val="single" w:color="000000" w:sz="4" w:space="0"/>
            </w:tcBorders>
            <w:shd w:val="clear" w:color="auto" w:fill="FFFFFF"/>
          </w:tcPr>
          <w:p>
            <w:pPr>
              <w:jc w:val="both"/>
              <w:rPr>
                <w:sz w:val="28"/>
                <w:szCs w:val="28"/>
                <w:highlight w:val="none"/>
              </w:rPr>
            </w:pPr>
            <w:r>
              <w:rPr>
                <w:rFonts w:hint="eastAsia"/>
                <w:sz w:val="28"/>
                <w:szCs w:val="28"/>
                <w:highlight w:val="none"/>
                <w:lang w:val="en-US" w:eastAsia="zh-CN"/>
              </w:rPr>
              <w:t>9.</w:t>
            </w:r>
            <w:r>
              <w:rPr>
                <w:sz w:val="28"/>
                <w:szCs w:val="28"/>
                <w:highlight w:val="none"/>
              </w:rPr>
              <w:t>总体框架要求</w:t>
            </w:r>
          </w:p>
        </w:tc>
        <w:tc>
          <w:tcPr>
            <w:tcW w:w="6365" w:type="dxa"/>
            <w:tcBorders>
              <w:top w:val="nil"/>
              <w:left w:val="nil"/>
              <w:bottom w:val="single" w:color="000000" w:sz="4" w:space="0"/>
              <w:right w:val="single" w:color="000000" w:sz="4" w:space="0"/>
            </w:tcBorders>
            <w:shd w:val="clear" w:color="auto" w:fill="FFFFFF"/>
            <w:vAlign w:val="top"/>
          </w:tcPr>
          <w:p>
            <w:pPr>
              <w:jc w:val="both"/>
              <w:rPr>
                <w:rFonts w:hint="eastAsia" w:eastAsiaTheme="minorEastAsia"/>
                <w:sz w:val="28"/>
                <w:szCs w:val="28"/>
                <w:highlight w:val="none"/>
                <w:lang w:eastAsia="zh-CN"/>
              </w:rPr>
            </w:pPr>
            <w:r>
              <w:rPr>
                <w:sz w:val="28"/>
                <w:szCs w:val="28"/>
                <w:highlight w:val="none"/>
              </w:rPr>
              <w:t>1）系统架构应具有高可用性，具备完善的容灾与容错实现机制，并提供相应的工具</w:t>
            </w:r>
            <w:r>
              <w:rPr>
                <w:rFonts w:hint="eastAsia"/>
                <w:sz w:val="28"/>
                <w:szCs w:val="28"/>
                <w:highlight w:val="none"/>
                <w:lang w:eastAsia="zh-CN"/>
              </w:rPr>
              <w:t>。</w:t>
            </w:r>
          </w:p>
        </w:tc>
      </w:tr>
    </w:tbl>
    <w:p>
      <w:pPr>
        <w:numPr>
          <w:ilvl w:val="0"/>
          <w:numId w:val="0"/>
        </w:numPr>
        <w:rPr>
          <w:rFonts w:hint="default" w:ascii="宋体" w:hAnsi="宋体" w:eastAsia="宋体" w:cs="宋体"/>
          <w:b w:val="0"/>
          <w:bCs w:val="0"/>
          <w:i w:val="0"/>
          <w:iCs w:val="0"/>
          <w:caps w:val="0"/>
          <w:color w:val="000000"/>
          <w:spacing w:val="0"/>
          <w:sz w:val="28"/>
          <w:szCs w:val="28"/>
          <w:shd w:val="clear" w:fill="FFFFFF"/>
          <w:lang w:val="en-US" w:eastAsia="zh-CN"/>
        </w:rPr>
      </w:pPr>
      <w:r>
        <w:rPr>
          <w:rFonts w:hint="eastAsia"/>
          <w:b/>
          <w:sz w:val="21"/>
          <w:highlight w:val="none"/>
          <w:lang w:val="en-US" w:eastAsia="zh-CN"/>
        </w:rPr>
        <w:t>注：本需求内容仅为开展市场调查所用，具体用户需求内容</w:t>
      </w:r>
      <w:r>
        <w:rPr>
          <w:rFonts w:hint="eastAsia"/>
          <w:b/>
          <w:sz w:val="21"/>
          <w:lang w:val="en-US" w:eastAsia="zh-CN"/>
        </w:rPr>
        <w:t>以正式发布的招标文件为准。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BD3EC"/>
    <w:multiLevelType w:val="singleLevel"/>
    <w:tmpl w:val="A23BD3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248F63D5"/>
    <w:rsid w:val="01BC76EF"/>
    <w:rsid w:val="203B67F4"/>
    <w:rsid w:val="248F63D5"/>
    <w:rsid w:val="28FE4325"/>
    <w:rsid w:val="35EA690A"/>
    <w:rsid w:val="39616287"/>
    <w:rsid w:val="43266338"/>
    <w:rsid w:val="4AF62D5C"/>
    <w:rsid w:val="762C432F"/>
    <w:rsid w:val="7931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31"/>
    <w:basedOn w:val="5"/>
    <w:autoRedefine/>
    <w:qFormat/>
    <w:uiPriority w:val="0"/>
    <w:rPr>
      <w:rFonts w:hint="eastAsia" w:ascii="宋体" w:hAnsi="宋体" w:eastAsia="宋体" w:cs="宋体"/>
      <w:color w:val="00B0F0"/>
      <w:sz w:val="22"/>
      <w:szCs w:val="22"/>
      <w:u w:val="none"/>
    </w:rPr>
  </w:style>
  <w:style w:type="character" w:customStyle="1" w:styleId="8">
    <w:name w:val="font41"/>
    <w:basedOn w:val="5"/>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2024-03-13T03:44:00Z</dcterms:created>
  <dc:creator>_xcy</dc:creator>
  <cp:lastModifiedBy>_xcy</cp:lastModifiedBy>
  <cp:lastPrinted>2024-03-13T04:09:00Z</cp:lastPrinted>
  <dcterms:modified xsi:type="dcterms:W3CDTF">2024-03-15T01:54:17Z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7A78F8FC72554FFA873ADB5BA28D6459_13</vt:lpwstr>
  </property>
</Properties>
</file>