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微软简标宋" w:hAnsi="微软简标宋" w:eastAsia="微软简标宋" w:cs="Times New Roman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采购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需求书</w:t>
      </w:r>
    </w:p>
    <w:p>
      <w:pPr>
        <w:numPr>
          <w:ilvl w:val="0"/>
          <w:numId w:val="1"/>
        </w:numPr>
        <w:tabs>
          <w:tab w:val="left" w:pos="540"/>
        </w:tabs>
        <w:spacing w:line="312" w:lineRule="auto"/>
        <w:ind w:left="420" w:hanging="420"/>
        <w:rPr>
          <w:rFonts w:ascii="仿宋_GB2312" w:hAnsi="仿宋_GB2312" w:eastAsia="仿宋_GB2312" w:cs="Times New Roman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采购清单</w:t>
      </w:r>
      <w:r>
        <w:rPr>
          <w:rFonts w:ascii="仿宋_GB2312" w:hAnsi="仿宋_GB2312" w:eastAsia="仿宋_GB2312" w:cs="仿宋_GB2312"/>
          <w:b/>
          <w:bCs/>
        </w:rPr>
        <w:t>/</w:t>
      </w:r>
      <w:r>
        <w:rPr>
          <w:rFonts w:hint="eastAsia" w:ascii="仿宋_GB2312" w:hAnsi="仿宋_GB2312" w:eastAsia="仿宋_GB2312" w:cs="仿宋_GB2312"/>
          <w:b/>
          <w:bCs/>
        </w:rPr>
        <w:t>采购内容：</w:t>
      </w:r>
    </w:p>
    <w:tbl>
      <w:tblPr>
        <w:tblStyle w:val="3"/>
        <w:tblW w:w="84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1"/>
        <w:gridCol w:w="947"/>
        <w:gridCol w:w="3216"/>
        <w:gridCol w:w="1450"/>
        <w:gridCol w:w="12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62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Times New Roman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采购内容</w:t>
            </w:r>
          </w:p>
        </w:tc>
        <w:tc>
          <w:tcPr>
            <w:tcW w:w="947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Times New Roman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数量</w:t>
            </w:r>
          </w:p>
        </w:tc>
        <w:tc>
          <w:tcPr>
            <w:tcW w:w="3216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hAnsi="仿宋_GB2312" w:eastAsia="仿宋_GB2312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  <w:lang w:val="en-US" w:eastAsia="zh-CN"/>
              </w:rPr>
              <w:t>项目详情</w:t>
            </w:r>
          </w:p>
        </w:tc>
        <w:tc>
          <w:tcPr>
            <w:tcW w:w="1450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Times New Roman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服务期</w:t>
            </w:r>
            <w:r>
              <w:rPr>
                <w:rFonts w:ascii="仿宋_GB2312" w:hAnsi="仿宋_GB2312" w:eastAsia="仿宋_GB2312" w:cs="仿宋_GB2312"/>
                <w:b/>
                <w:bCs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供货期</w:t>
            </w:r>
            <w:r>
              <w:rPr>
                <w:rFonts w:ascii="仿宋_GB2312" w:hAnsi="仿宋_GB2312" w:eastAsia="仿宋_GB2312" w:cs="仿宋_GB2312"/>
                <w:b/>
                <w:bCs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完成期</w:t>
            </w:r>
          </w:p>
        </w:tc>
        <w:tc>
          <w:tcPr>
            <w:tcW w:w="1215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Times New Roman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质保期</w:t>
            </w:r>
            <w:r>
              <w:rPr>
                <w:rFonts w:ascii="仿宋_GB2312" w:hAnsi="仿宋_GB2312" w:eastAsia="仿宋_GB2312" w:cs="仿宋_GB2312"/>
                <w:b/>
                <w:bCs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保修期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atLeast"/>
          <w:jc w:val="center"/>
        </w:trPr>
        <w:tc>
          <w:tcPr>
            <w:tcW w:w="16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宣传视频制作</w:t>
            </w:r>
          </w:p>
        </w:tc>
        <w:tc>
          <w:tcPr>
            <w:tcW w:w="94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Times New Roman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</w:rPr>
              <w:t>1项</w:t>
            </w:r>
          </w:p>
        </w:tc>
        <w:tc>
          <w:tcPr>
            <w:tcW w:w="321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highlight w:val="none"/>
                <w:lang w:val="en-US" w:eastAsia="zh-CN"/>
              </w:rPr>
              <w:t>在开业典礼前完成5-8分钟的宣传视频制作</w:t>
            </w:r>
          </w:p>
        </w:tc>
        <w:tc>
          <w:tcPr>
            <w:tcW w:w="1450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  <w:r>
              <w:rPr>
                <w:rFonts w:hint="eastAsia" w:ascii="仿宋_GB2312" w:hAnsi="仿宋_GB2312" w:eastAsia="仿宋_GB2312"/>
                <w:highlight w:val="none"/>
              </w:rPr>
              <w:t>签订合同后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  <w:r>
              <w:rPr>
                <w:rFonts w:hint="eastAsia" w:ascii="仿宋_GB2312" w:hAnsi="仿宋_GB2312" w:eastAsia="仿宋_GB2312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/>
                <w:highlight w:val="none"/>
              </w:rPr>
              <w:t>个工作日内</w:t>
            </w:r>
          </w:p>
        </w:tc>
        <w:tc>
          <w:tcPr>
            <w:tcW w:w="1215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  <w:r>
              <w:rPr>
                <w:rFonts w:hint="eastAsia" w:ascii="仿宋_GB2312" w:hAnsi="仿宋_GB2312" w:eastAsia="仿宋_GB2312"/>
                <w:highlight w:val="none"/>
              </w:rPr>
              <w:t>项目验收通过后60个工作日内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16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典礼现场活动总策划</w:t>
            </w:r>
          </w:p>
        </w:tc>
        <w:tc>
          <w:tcPr>
            <w:tcW w:w="94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Times New Roman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</w:rPr>
              <w:t>1项</w:t>
            </w:r>
          </w:p>
        </w:tc>
        <w:tc>
          <w:tcPr>
            <w:tcW w:w="321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highlight w:val="none"/>
                <w:lang w:val="en-US" w:eastAsia="zh-CN"/>
              </w:rPr>
              <w:t>提供典礼现场方案，搭设典礼现场设计，按采购人需求调整方案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  <w:jc w:val="center"/>
        </w:trPr>
        <w:tc>
          <w:tcPr>
            <w:tcW w:w="16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典礼现场物料</w:t>
            </w:r>
          </w:p>
        </w:tc>
        <w:tc>
          <w:tcPr>
            <w:tcW w:w="94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1项</w:t>
            </w:r>
          </w:p>
        </w:tc>
        <w:tc>
          <w:tcPr>
            <w:tcW w:w="321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微软雅黑"/>
                <w:color w:val="000000"/>
                <w:highlight w:val="none"/>
                <w:lang w:eastAsia="zh-CN"/>
              </w:rPr>
              <w:t>活动当日所有物料设计制作安装和仪式后清场（指引牌、音响、灯光、屏控、造型、剪彩仪式、专业礼仪、</w:t>
            </w:r>
            <w:r>
              <w:rPr>
                <w:rFonts w:hint="eastAsia" w:ascii="仿宋_GB2312" w:hAnsi="仿宋" w:eastAsia="仿宋_GB2312" w:cs="微软雅黑"/>
                <w:color w:val="000000"/>
                <w:highlight w:val="none"/>
                <w:lang w:val="en-US" w:eastAsia="zh-CN"/>
              </w:rPr>
              <w:t>指引服务</w:t>
            </w:r>
            <w:r>
              <w:rPr>
                <w:rFonts w:hint="eastAsia" w:ascii="仿宋_GB2312" w:hAnsi="仿宋" w:eastAsia="仿宋_GB2312" w:cs="微软雅黑"/>
                <w:color w:val="000000"/>
                <w:highlight w:val="none"/>
                <w:lang w:eastAsia="zh-CN"/>
              </w:rPr>
              <w:t>）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16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典礼现场拍摄</w:t>
            </w:r>
          </w:p>
        </w:tc>
        <w:tc>
          <w:tcPr>
            <w:tcW w:w="94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1项</w:t>
            </w:r>
          </w:p>
        </w:tc>
        <w:tc>
          <w:tcPr>
            <w:tcW w:w="321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" w:eastAsia="仿宋_GB2312" w:cs="微软雅黑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微软雅黑"/>
                <w:highlight w:val="none"/>
                <w:lang w:val="en-US" w:eastAsia="zh-CN"/>
              </w:rPr>
              <w:t>配置专业的拍摄器材、录像器材、航拍设备，完成现场照片拍摄、录像等工作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16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拍摄人员配置</w:t>
            </w:r>
          </w:p>
        </w:tc>
        <w:tc>
          <w:tcPr>
            <w:tcW w:w="94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不少于3人</w:t>
            </w:r>
          </w:p>
        </w:tc>
        <w:tc>
          <w:tcPr>
            <w:tcW w:w="321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微软雅黑"/>
                <w:color w:val="000000"/>
                <w:highlight w:val="none"/>
              </w:rPr>
              <w:t>包括：摄像师2名，灯光师1名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16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典礼现场照片、视频后期处理</w:t>
            </w:r>
          </w:p>
        </w:tc>
        <w:tc>
          <w:tcPr>
            <w:tcW w:w="94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1项</w:t>
            </w:r>
          </w:p>
        </w:tc>
        <w:tc>
          <w:tcPr>
            <w:tcW w:w="321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" w:eastAsia="仿宋_GB2312" w:cs="微软雅黑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微软雅黑"/>
                <w:color w:val="000000"/>
                <w:highlight w:val="none"/>
                <w:lang w:val="en-US" w:eastAsia="zh-CN"/>
              </w:rPr>
              <w:t>按采购人需求处理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  <w:jc w:val="center"/>
        </w:trPr>
        <w:tc>
          <w:tcPr>
            <w:tcW w:w="16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配音</w:t>
            </w:r>
          </w:p>
        </w:tc>
        <w:tc>
          <w:tcPr>
            <w:tcW w:w="94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Times New Roman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</w:rPr>
              <w:t>1项</w:t>
            </w:r>
          </w:p>
        </w:tc>
        <w:tc>
          <w:tcPr>
            <w:tcW w:w="321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" w:eastAsia="仿宋_GB2312" w:cs="微软雅黑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微软雅黑"/>
                <w:color w:val="000000"/>
                <w:highlight w:val="none"/>
                <w:lang w:val="en-US" w:eastAsia="zh-CN"/>
              </w:rPr>
              <w:t>为视频提供旁白配音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6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垃圾清理、安全维护</w:t>
            </w:r>
          </w:p>
        </w:tc>
        <w:tc>
          <w:tcPr>
            <w:tcW w:w="94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highlight w:val="none"/>
                <w:lang w:val="en-US" w:eastAsia="zh-CN"/>
              </w:rPr>
              <w:t>1项</w:t>
            </w:r>
          </w:p>
        </w:tc>
        <w:tc>
          <w:tcPr>
            <w:tcW w:w="321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" w:eastAsia="仿宋_GB2312" w:cs="微软雅黑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微软雅黑"/>
                <w:color w:val="000000"/>
                <w:highlight w:val="none"/>
                <w:lang w:val="en-US" w:eastAsia="zh-CN"/>
              </w:rPr>
              <w:t>维护现场安全秩序、现场垃圾清理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8449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2" w:lineRule="auto"/>
              <w:ind w:firstLine="120"/>
              <w:rPr>
                <w:rFonts w:ascii="仿宋_GB2312" w:hAnsi="仿宋_GB2312" w:eastAsia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项目预算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highlight w:val="none"/>
              </w:rPr>
              <w:t>￥</w:t>
            </w:r>
            <w:r>
              <w:rPr>
                <w:rFonts w:hint="eastAsia" w:ascii="仿宋_GB2312" w:hAnsi="仿宋_GB2312" w:eastAsia="仿宋_GB2312"/>
                <w:b/>
                <w:highlight w:val="none"/>
                <w:lang w:val="en-US" w:eastAsia="zh-CN"/>
              </w:rPr>
              <w:t>198000</w:t>
            </w:r>
            <w:r>
              <w:rPr>
                <w:rFonts w:hint="eastAsia" w:ascii="仿宋_GB2312" w:hAnsi="仿宋_GB2312" w:eastAsia="仿宋_GB2312"/>
                <w:b/>
                <w:highlight w:val="none"/>
              </w:rPr>
              <w:t>.00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元</w:t>
            </w:r>
          </w:p>
        </w:tc>
      </w:tr>
    </w:tbl>
    <w:p>
      <w:pPr>
        <w:tabs>
          <w:tab w:val="left" w:pos="540"/>
        </w:tabs>
        <w:spacing w:line="312" w:lineRule="auto"/>
        <w:ind w:left="420"/>
        <w:rPr>
          <w:rFonts w:ascii="仿宋_GB2312" w:hAnsi="仿宋_GB2312" w:eastAsia="仿宋_GB2312" w:cs="Times New Roman"/>
          <w:highlight w:val="none"/>
        </w:rPr>
      </w:pPr>
      <w:r>
        <w:rPr>
          <w:rFonts w:hint="eastAsia" w:ascii="仿宋_GB2312" w:hAnsi="仿宋_GB2312" w:eastAsia="仿宋_GB2312" w:cs="仿宋_GB2312"/>
        </w:rPr>
        <w:t>注</w:t>
      </w:r>
      <w:r>
        <w:rPr>
          <w:rFonts w:hint="eastAsia" w:ascii="仿宋_GB2312" w:hAnsi="仿宋_GB2312" w:eastAsia="仿宋_GB2312" w:cs="仿宋_GB2312"/>
          <w:highlight w:val="none"/>
        </w:rPr>
        <w:t>：服务类项目请提供具体详细的服务内容；工程类项目请提供工程类清单或详细清单。</w:t>
      </w:r>
    </w:p>
    <w:p>
      <w:pPr>
        <w:numPr>
          <w:ilvl w:val="0"/>
          <w:numId w:val="1"/>
        </w:numPr>
        <w:tabs>
          <w:tab w:val="left" w:pos="540"/>
          <w:tab w:val="left" w:pos="2127"/>
        </w:tabs>
        <w:spacing w:line="312" w:lineRule="auto"/>
        <w:ind w:left="420" w:hanging="420"/>
        <w:rPr>
          <w:rFonts w:ascii="仿宋_GB2312" w:hAnsi="仿宋_GB2312" w:eastAsia="仿宋_GB2312" w:cs="Times New Roman"/>
          <w:b/>
          <w:bCs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</w:rPr>
        <w:t>项目实施地点（送货地点）：</w:t>
      </w:r>
      <w:r>
        <w:rPr>
          <w:rFonts w:hint="eastAsia" w:ascii="仿宋_GB2312" w:hAnsi="仿宋_GB2312" w:eastAsia="仿宋_GB2312" w:cs="仿宋_GB2312"/>
          <w:b/>
          <w:bCs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highlight w:val="none"/>
          <w:u w:val="single"/>
          <w:lang w:eastAsia="zh-CN"/>
        </w:rPr>
        <w:t>中山市口腔医院</w:t>
      </w:r>
      <w:r>
        <w:rPr>
          <w:rFonts w:ascii="仿宋_GB2312" w:hAnsi="仿宋_GB2312" w:eastAsia="仿宋_GB2312" w:cs="仿宋_GB2312"/>
          <w:b/>
          <w:bCs/>
          <w:highlight w:val="none"/>
          <w:u w:val="single"/>
        </w:rPr>
        <w:t xml:space="preserve">          </w:t>
      </w:r>
    </w:p>
    <w:p>
      <w:pPr>
        <w:numPr>
          <w:ilvl w:val="0"/>
          <w:numId w:val="1"/>
        </w:numPr>
        <w:tabs>
          <w:tab w:val="left" w:pos="540"/>
          <w:tab w:val="left" w:pos="2127"/>
        </w:tabs>
        <w:spacing w:line="312" w:lineRule="auto"/>
        <w:ind w:left="420" w:hanging="420"/>
        <w:rPr>
          <w:rFonts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定标原则：综合评分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高者中标</w:t>
      </w:r>
    </w:p>
    <w:p>
      <w:pPr>
        <w:numPr>
          <w:ilvl w:val="0"/>
          <w:numId w:val="1"/>
        </w:numPr>
        <w:tabs>
          <w:tab w:val="left" w:pos="540"/>
          <w:tab w:val="left" w:pos="2127"/>
        </w:tabs>
        <w:spacing w:line="312" w:lineRule="auto"/>
        <w:ind w:left="420" w:hanging="420"/>
        <w:rPr>
          <w:rFonts w:hint="eastAsia" w:ascii="宋体" w:hAnsi="宋体" w:cs="Times New Roman"/>
          <w:b/>
          <w:bCs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</w:rPr>
        <w:t>付款方式：</w:t>
      </w:r>
      <w:r>
        <w:rPr>
          <w:rFonts w:hint="eastAsia" w:ascii="仿宋_GB2312" w:hAnsi="仿宋_GB2312" w:eastAsia="仿宋_GB2312" w:cs="仿宋_GB2312"/>
          <w:b/>
          <w:bCs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highlight w:val="none"/>
          <w:u w:val="single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b/>
          <w:bCs/>
          <w:highlight w:val="none"/>
          <w:u w:val="single"/>
        </w:rPr>
        <w:t xml:space="preserve">转账        </w:t>
      </w:r>
    </w:p>
    <w:p>
      <w:pPr>
        <w:numPr>
          <w:ilvl w:val="0"/>
          <w:numId w:val="1"/>
        </w:numPr>
        <w:tabs>
          <w:tab w:val="left" w:pos="540"/>
          <w:tab w:val="left" w:pos="2127"/>
        </w:tabs>
        <w:spacing w:line="312" w:lineRule="auto"/>
        <w:ind w:left="420" w:hanging="420"/>
        <w:rPr>
          <w:rFonts w:hint="eastAsia"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</w:rPr>
        <w:t>供应商资格条件：</w:t>
      </w:r>
    </w:p>
    <w:p>
      <w:pPr>
        <w:rPr>
          <w:rFonts w:hint="eastAsia"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</w:rPr>
        <w:t>1、基本要求；</w:t>
      </w:r>
    </w:p>
    <w:p>
      <w:pPr>
        <w:rPr>
          <w:rFonts w:hint="eastAsia"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</w:rPr>
        <w:t xml:space="preserve">(1)具有独立承担民事责任的能力：在中华人民共和国境内注册的法人或其他组织或自然人， 投标（响应）时提交有效的营业执照（或事业法人登记证或身份证等相关证明） 副本复印件。分支机构投标的，须提供总公司和分公司营业执照副本复印件，总公司出具给分支机构的授权书。； </w:t>
      </w:r>
    </w:p>
    <w:p>
      <w:pPr>
        <w:rPr>
          <w:rFonts w:hint="eastAsia"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</w:rPr>
        <w:t>(2)有依法缴纳税收和社会保障资金的良好记录：提供投标截止日前6个月内任意1个月依法缴纳税收和社会保障资金的相关材料。 如依法免税或不需要缴纳社会保障资金的， 提供相应证明材料。</w:t>
      </w:r>
    </w:p>
    <w:p>
      <w:pPr>
        <w:rPr>
          <w:rFonts w:hint="eastAsia"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</w:rPr>
        <w:t>(3)参加</w:t>
      </w:r>
      <w:r>
        <w:rPr>
          <w:rFonts w:hint="eastAsia" w:ascii="宋体" w:hAnsi="宋体" w:cs="Times New Roman"/>
          <w:b/>
          <w:bCs/>
          <w:highlight w:val="none"/>
          <w:lang w:eastAsia="zh-CN"/>
        </w:rPr>
        <w:t>本次</w:t>
      </w:r>
      <w:r>
        <w:rPr>
          <w:rFonts w:hint="eastAsia" w:ascii="宋体" w:hAnsi="宋体" w:cs="Times New Roman"/>
          <w:b/>
          <w:bCs/>
          <w:highlight w:val="none"/>
          <w:lang w:val="en-US" w:eastAsia="zh-CN"/>
        </w:rPr>
        <w:t>谈判</w:t>
      </w:r>
      <w:r>
        <w:rPr>
          <w:rFonts w:hint="eastAsia" w:ascii="宋体" w:hAnsi="宋体" w:cs="Times New Roman"/>
          <w:b/>
          <w:bCs/>
          <w:highlight w:val="none"/>
        </w:rPr>
        <w:t>活动前三年内，在经营活动中没有重大违法记录（提供声明）</w:t>
      </w:r>
      <w:r>
        <w:rPr>
          <w:rFonts w:hint="eastAsia" w:ascii="宋体" w:hAnsi="宋体" w:cs="Times New Roman"/>
          <w:b/>
          <w:bCs/>
          <w:highlight w:val="none"/>
          <w:lang w:val="en-US" w:eastAsia="zh-CN"/>
        </w:rPr>
        <w:t>.</w:t>
      </w:r>
      <w:r>
        <w:rPr>
          <w:rFonts w:hint="eastAsia" w:ascii="宋体" w:hAnsi="宋体" w:cs="Times New Roman"/>
          <w:b/>
          <w:bCs/>
          <w:highlight w:val="none"/>
        </w:rPr>
        <w:t xml:space="preserve"> </w:t>
      </w:r>
    </w:p>
    <w:p>
      <w:pPr>
        <w:rPr>
          <w:rFonts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</w:rPr>
        <w:t>2、本项目不接受联合体报价。</w:t>
      </w:r>
    </w:p>
    <w:p>
      <w:pPr>
        <w:tabs>
          <w:tab w:val="left" w:pos="540"/>
          <w:tab w:val="left" w:pos="2127"/>
        </w:tabs>
        <w:spacing w:line="360" w:lineRule="auto"/>
        <w:rPr>
          <w:rFonts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  <w:lang w:val="en-US" w:eastAsia="zh-CN"/>
        </w:rPr>
        <w:t>3、</w:t>
      </w:r>
      <w:r>
        <w:rPr>
          <w:rFonts w:hint="eastAsia" w:ascii="宋体" w:hAnsi="宋体" w:cs="Times New Roman"/>
          <w:b/>
          <w:bCs/>
          <w:highlight w:val="none"/>
        </w:rPr>
        <w:t>供应商须具备：设计、制作、发布、代理各类广告；或摄像及视频制作服务；或广播电视节目制作经营</w:t>
      </w:r>
      <w:r>
        <w:rPr>
          <w:rFonts w:hint="eastAsia" w:ascii="宋体" w:hAnsi="宋体" w:cs="Times New Roman"/>
          <w:b/>
          <w:bCs/>
          <w:highlight w:val="none"/>
          <w:lang w:eastAsia="zh-CN"/>
        </w:rPr>
        <w:t>；组织文化艺术交流活动等</w:t>
      </w:r>
      <w:r>
        <w:rPr>
          <w:rFonts w:hint="eastAsia" w:ascii="宋体" w:hAnsi="宋体" w:cs="Times New Roman"/>
          <w:b/>
          <w:bCs/>
          <w:highlight w:val="none"/>
        </w:rPr>
        <w:t>相关经营资质之一。</w:t>
      </w:r>
    </w:p>
    <w:p>
      <w:pPr>
        <w:numPr>
          <w:ilvl w:val="0"/>
          <w:numId w:val="0"/>
        </w:numPr>
        <w:tabs>
          <w:tab w:val="left" w:pos="540"/>
          <w:tab w:val="left" w:pos="2127"/>
        </w:tabs>
        <w:spacing w:line="360" w:lineRule="auto"/>
        <w:rPr>
          <w:rFonts w:hint="eastAsia" w:ascii="宋体" w:hAnsi="宋体" w:cs="Times New Roman"/>
          <w:b/>
          <w:bCs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highlight w:val="none"/>
          <w:lang w:val="en-US" w:eastAsia="zh-CN"/>
        </w:rPr>
        <w:t>4、供应商加分项（具备以下条件</w:t>
      </w:r>
      <w:r>
        <w:rPr>
          <w:rFonts w:hint="eastAsia" w:ascii="宋体" w:hAnsi="宋体" w:cs="Times New Roman"/>
          <w:b/>
          <w:bCs/>
          <w:highlight w:val="none"/>
        </w:rPr>
        <w:t>可酌情予以加分</w:t>
      </w:r>
      <w:r>
        <w:rPr>
          <w:rFonts w:hint="eastAsia" w:ascii="宋体" w:hAnsi="宋体" w:cs="Times New Roman"/>
          <w:b/>
          <w:bCs/>
          <w:highlight w:val="none"/>
          <w:lang w:eastAsia="zh-CN"/>
        </w:rPr>
        <w:t>）</w:t>
      </w:r>
      <w:r>
        <w:rPr>
          <w:rFonts w:hint="eastAsia" w:ascii="宋体" w:hAnsi="宋体" w:cs="Times New Roman"/>
          <w:b/>
          <w:bCs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tabs>
          <w:tab w:val="left" w:pos="540"/>
          <w:tab w:val="left" w:pos="2127"/>
        </w:tabs>
        <w:spacing w:line="360" w:lineRule="auto"/>
        <w:ind w:left="0" w:leftChars="0" w:firstLine="422" w:firstLineChars="200"/>
        <w:rPr>
          <w:rFonts w:hint="eastAsia"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  <w:lang w:val="en-US" w:eastAsia="zh-CN"/>
        </w:rPr>
        <w:t>(1)具备</w:t>
      </w:r>
      <w:r>
        <w:rPr>
          <w:rFonts w:hint="eastAsia" w:ascii="宋体" w:hAnsi="宋体" w:cs="Times New Roman"/>
          <w:b/>
          <w:bCs/>
          <w:highlight w:val="none"/>
        </w:rPr>
        <w:t>广播电视节目制作经营许可证。</w:t>
      </w:r>
    </w:p>
    <w:p>
      <w:pPr>
        <w:numPr>
          <w:ilvl w:val="0"/>
          <w:numId w:val="0"/>
        </w:numPr>
        <w:tabs>
          <w:tab w:val="left" w:pos="540"/>
          <w:tab w:val="left" w:pos="2127"/>
        </w:tabs>
        <w:spacing w:line="360" w:lineRule="auto"/>
        <w:ind w:left="0" w:leftChars="0" w:firstLine="422" w:firstLineChars="200"/>
        <w:rPr>
          <w:rFonts w:hint="eastAsia" w:ascii="宋体" w:hAnsi="宋体" w:eastAsia="宋体" w:cs="Times New Roman"/>
          <w:b/>
          <w:bCs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highlight w:val="none"/>
          <w:lang w:val="en-US" w:eastAsia="zh-CN"/>
        </w:rPr>
        <w:t>(2)具备安全生产许可证。</w:t>
      </w:r>
    </w:p>
    <w:p>
      <w:pPr>
        <w:tabs>
          <w:tab w:val="left" w:pos="540"/>
          <w:tab w:val="left" w:pos="2127"/>
        </w:tabs>
        <w:spacing w:line="360" w:lineRule="auto"/>
        <w:ind w:left="0" w:leftChars="0" w:firstLine="422" w:firstLineChars="200"/>
        <w:rPr>
          <w:rFonts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  <w:lang w:val="en-US" w:eastAsia="zh-CN"/>
        </w:rPr>
        <w:t>(3)</w:t>
      </w:r>
      <w:r>
        <w:rPr>
          <w:rFonts w:hint="eastAsia" w:cs="Times New Roman"/>
          <w:b/>
          <w:bCs/>
          <w:highlight w:val="none"/>
        </w:rPr>
        <w:t>配备不少于</w:t>
      </w:r>
      <w:r>
        <w:rPr>
          <w:rFonts w:hint="eastAsia" w:ascii="宋体" w:hAnsi="宋体" w:cs="Times New Roman"/>
          <w:b/>
          <w:bCs/>
          <w:highlight w:val="none"/>
        </w:rPr>
        <w:t>1</w:t>
      </w:r>
      <w:r>
        <w:rPr>
          <w:rFonts w:hint="eastAsia" w:cs="Times New Roman"/>
          <w:b/>
          <w:bCs/>
          <w:highlight w:val="none"/>
        </w:rPr>
        <w:t>名持有国家认证的广播影视艺术导演资格证书的专业导演；以及不少于</w:t>
      </w:r>
      <w:r>
        <w:rPr>
          <w:rFonts w:hint="eastAsia" w:ascii="宋体" w:hAnsi="宋体" w:cs="Times New Roman"/>
          <w:b/>
          <w:bCs/>
          <w:highlight w:val="none"/>
        </w:rPr>
        <w:t>1</w:t>
      </w:r>
      <w:r>
        <w:rPr>
          <w:rFonts w:hint="eastAsia" w:cs="Times New Roman"/>
          <w:b/>
          <w:bCs/>
          <w:highlight w:val="none"/>
        </w:rPr>
        <w:t>名持有国家认证的播音员资格证书的专业播音员。</w:t>
      </w:r>
    </w:p>
    <w:p>
      <w:pPr>
        <w:ind w:left="0" w:leftChars="0" w:firstLine="422" w:firstLineChars="200"/>
        <w:rPr>
          <w:rFonts w:hint="eastAsia"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  <w:lang w:val="en-US" w:eastAsia="zh-CN"/>
        </w:rPr>
        <w:t>(4)</w:t>
      </w:r>
      <w:r>
        <w:rPr>
          <w:rFonts w:hint="eastAsia" w:ascii="宋体" w:hAnsi="宋体" w:cs="Times New Roman"/>
          <w:b/>
          <w:bCs/>
          <w:highlight w:val="none"/>
        </w:rPr>
        <w:t>自主经营、运营或独家代理的影视作品播放平台或渠道</w:t>
      </w:r>
    </w:p>
    <w:p>
      <w:pPr>
        <w:ind w:left="0" w:leftChars="0" w:firstLine="422" w:firstLineChars="200"/>
        <w:rPr>
          <w:rFonts w:ascii="宋体" w:hAnsi="宋体" w:cs="Times New Roman"/>
          <w:b/>
          <w:bCs/>
          <w:highlight w:val="none"/>
        </w:rPr>
      </w:pPr>
      <w:r>
        <w:rPr>
          <w:rFonts w:hint="eastAsia" w:ascii="宋体" w:hAnsi="宋体" w:cs="Times New Roman"/>
          <w:b/>
          <w:bCs/>
          <w:highlight w:val="none"/>
          <w:lang w:val="en-US" w:eastAsia="zh-CN"/>
        </w:rPr>
        <w:t>(5)</w:t>
      </w:r>
      <w:r>
        <w:rPr>
          <w:rFonts w:hint="eastAsia" w:ascii="宋体" w:hAnsi="宋体" w:cs="Times New Roman"/>
          <w:b/>
          <w:bCs/>
          <w:highlight w:val="none"/>
        </w:rPr>
        <w:t>市级媒体进行宣传不少于3天。</w:t>
      </w:r>
    </w:p>
    <w:p>
      <w:pPr>
        <w:rPr>
          <w:rFonts w:ascii="宋体" w:hAnsi="宋体" w:cs="Times New Roman"/>
          <w:b/>
          <w:bCs/>
          <w:highlight w:val="none"/>
        </w:rPr>
      </w:pPr>
    </w:p>
    <w:p>
      <w:pPr>
        <w:spacing w:line="600" w:lineRule="exact"/>
        <w:ind w:right="1280"/>
        <w:rPr>
          <w:rFonts w:ascii="宋体" w:hAnsi="宋体" w:cs="宋体"/>
          <w:b/>
          <w:color w:val="FF0000"/>
          <w:highlight w:val="none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  <w:rPr>
        <w:rFonts w:cs="Times New Roman"/>
      </w:rPr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90500" cy="219075"/>
              <wp:effectExtent l="0" t="0" r="0" b="0"/>
              <wp:wrapSquare wrapText="bothSides"/>
              <wp:docPr id="1026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190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7.25pt;width:15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allowincell="f" o:gfxdata="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HBLGz1AAAAAMBAAAPAAAAAAAAAAEAIAAAACIAAABkcnMvZG93bnJldi54bWxQSwECFAAU&#10;AAAACACHTuJAiFVrRvUBAADmAwAADgAAAAAAAAABACAAAAAjAQAAZHJzL2Uyb0RvYy54bWxQSwUG&#10;AAAAAAYABgBZAQAAig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\* Arabic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japaneseCount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、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TAyNWIxNGNhOTExMTQ1NjIyZjE1M2IxZDU3M2QifQ=="/>
  </w:docVars>
  <w:rsids>
    <w:rsidRoot w:val="26A47D50"/>
    <w:rsid w:val="000165D7"/>
    <w:rsid w:val="00043827"/>
    <w:rsid w:val="00135504"/>
    <w:rsid w:val="002A4E68"/>
    <w:rsid w:val="002D604F"/>
    <w:rsid w:val="002E3BDB"/>
    <w:rsid w:val="002F36AB"/>
    <w:rsid w:val="002F37C3"/>
    <w:rsid w:val="00366A97"/>
    <w:rsid w:val="00374CDC"/>
    <w:rsid w:val="00391921"/>
    <w:rsid w:val="003E456C"/>
    <w:rsid w:val="004A14A5"/>
    <w:rsid w:val="004B059F"/>
    <w:rsid w:val="004B4921"/>
    <w:rsid w:val="004F107F"/>
    <w:rsid w:val="0050515B"/>
    <w:rsid w:val="00575A68"/>
    <w:rsid w:val="00583309"/>
    <w:rsid w:val="006E1E0E"/>
    <w:rsid w:val="0070604C"/>
    <w:rsid w:val="00736666"/>
    <w:rsid w:val="007F42FE"/>
    <w:rsid w:val="00882970"/>
    <w:rsid w:val="00915D5B"/>
    <w:rsid w:val="009F71E8"/>
    <w:rsid w:val="00A90379"/>
    <w:rsid w:val="00AE3180"/>
    <w:rsid w:val="00B15CB7"/>
    <w:rsid w:val="00D50E50"/>
    <w:rsid w:val="00D85152"/>
    <w:rsid w:val="00D970C8"/>
    <w:rsid w:val="00EE571E"/>
    <w:rsid w:val="00EF77B4"/>
    <w:rsid w:val="00F60BEB"/>
    <w:rsid w:val="00FA5D6F"/>
    <w:rsid w:val="03EB5EBC"/>
    <w:rsid w:val="0F67284D"/>
    <w:rsid w:val="13190D7C"/>
    <w:rsid w:val="13867EE2"/>
    <w:rsid w:val="15D06A17"/>
    <w:rsid w:val="18120B67"/>
    <w:rsid w:val="1E6C4619"/>
    <w:rsid w:val="1E8375C0"/>
    <w:rsid w:val="1F5E7364"/>
    <w:rsid w:val="25493224"/>
    <w:rsid w:val="26A47D50"/>
    <w:rsid w:val="2AE65DDA"/>
    <w:rsid w:val="31FC646E"/>
    <w:rsid w:val="327A5D86"/>
    <w:rsid w:val="33F93A3B"/>
    <w:rsid w:val="351B3FB8"/>
    <w:rsid w:val="357B1BFE"/>
    <w:rsid w:val="3908744C"/>
    <w:rsid w:val="394D66F2"/>
    <w:rsid w:val="3C6F0775"/>
    <w:rsid w:val="44D4304B"/>
    <w:rsid w:val="47285049"/>
    <w:rsid w:val="48EC6E19"/>
    <w:rsid w:val="4EAC4783"/>
    <w:rsid w:val="518C1C1F"/>
    <w:rsid w:val="535873E5"/>
    <w:rsid w:val="5D9F3CA4"/>
    <w:rsid w:val="5F1066A6"/>
    <w:rsid w:val="6A711CBC"/>
    <w:rsid w:val="6BA67004"/>
    <w:rsid w:val="6CF013D3"/>
    <w:rsid w:val="735F7D09"/>
    <w:rsid w:val="7B411519"/>
    <w:rsid w:val="7F3E178F"/>
    <w:rsid w:val="7F4059BA"/>
    <w:rsid w:val="EF5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1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904</Words>
  <Characters>932</Characters>
  <Lines>10</Lines>
  <Paragraphs>3</Paragraphs>
  <TotalTime>9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2019-04-03T00:27:00Z</dcterms:created>
  <dc:creator>Administrator</dc:creator>
  <cp:lastModifiedBy>25838</cp:lastModifiedBy>
  <dcterms:modified xsi:type="dcterms:W3CDTF">2023-09-06T09:55:51Z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4098FD9E732F4C50828CD4B172D57728_13</vt:lpwstr>
  </property>
</Properties>
</file>